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967E1" w14:textId="77777777" w:rsidR="00662132" w:rsidRPr="00662132" w:rsidRDefault="00662132" w:rsidP="00662132">
      <w:pPr>
        <w:suppressAutoHyphens/>
        <w:jc w:val="center"/>
        <w:rPr>
          <w:rFonts w:ascii="Arial" w:hAnsi="Arial"/>
          <w:sz w:val="16"/>
          <w:szCs w:val="16"/>
        </w:rPr>
      </w:pPr>
    </w:p>
    <w:p w14:paraId="68930A36" w14:textId="77777777" w:rsidR="00662132" w:rsidRPr="007E2A70" w:rsidRDefault="00662132" w:rsidP="00662132">
      <w:pPr>
        <w:suppressAutoHyphens/>
        <w:jc w:val="center"/>
        <w:rPr>
          <w:rFonts w:ascii="Arial" w:hAnsi="Arial"/>
        </w:rPr>
      </w:pPr>
    </w:p>
    <w:p w14:paraId="6BFBB3E6" w14:textId="77777777" w:rsidR="00662132" w:rsidRPr="007E2A70" w:rsidRDefault="00662132" w:rsidP="00662132">
      <w:pPr>
        <w:suppressAutoHyphens/>
        <w:jc w:val="center"/>
        <w:rPr>
          <w:rFonts w:ascii="Arial" w:hAnsi="Arial" w:cs="Arial"/>
          <w:b/>
          <w:sz w:val="26"/>
        </w:rPr>
      </w:pPr>
      <w:r w:rsidRPr="007E2A70">
        <w:rPr>
          <w:rFonts w:ascii="Arial" w:hAnsi="Arial" w:cs="Arial"/>
          <w:b/>
          <w:sz w:val="24"/>
        </w:rPr>
        <w:t>DTV-Güterversicherungsbedingungen 2000/</w:t>
      </w:r>
      <w:r w:rsidR="001F6B1C">
        <w:rPr>
          <w:rFonts w:ascii="Arial" w:hAnsi="Arial" w:cs="Arial"/>
          <w:b/>
          <w:sz w:val="24"/>
        </w:rPr>
        <w:t>2011</w:t>
      </w:r>
    </w:p>
    <w:p w14:paraId="3231692E" w14:textId="77777777" w:rsidR="00662132" w:rsidRPr="007E2A70" w:rsidRDefault="00662132" w:rsidP="00662132">
      <w:pPr>
        <w:suppressAutoHyphens/>
        <w:jc w:val="center"/>
        <w:rPr>
          <w:rFonts w:ascii="Arial" w:hAnsi="Arial"/>
        </w:rPr>
      </w:pPr>
    </w:p>
    <w:p w14:paraId="2C9CCF78" w14:textId="77777777" w:rsidR="00662132" w:rsidRPr="005C4845" w:rsidRDefault="00662132" w:rsidP="00662132">
      <w:pPr>
        <w:suppressAutoHyphens/>
        <w:jc w:val="center"/>
        <w:rPr>
          <w:rFonts w:ascii="Arial" w:hAnsi="Arial"/>
          <w:b/>
          <w:sz w:val="24"/>
        </w:rPr>
      </w:pPr>
      <w:r w:rsidRPr="005C4845">
        <w:rPr>
          <w:rFonts w:ascii="Arial" w:hAnsi="Arial"/>
          <w:b/>
          <w:sz w:val="24"/>
        </w:rPr>
        <w:t>(DTV-Güter 2000/</w:t>
      </w:r>
      <w:r w:rsidR="001F6B1C">
        <w:rPr>
          <w:rFonts w:ascii="Arial" w:hAnsi="Arial"/>
          <w:b/>
          <w:sz w:val="24"/>
        </w:rPr>
        <w:t>2011</w:t>
      </w:r>
      <w:r w:rsidRPr="005C4845">
        <w:rPr>
          <w:rFonts w:ascii="Arial" w:hAnsi="Arial"/>
          <w:b/>
          <w:sz w:val="24"/>
        </w:rPr>
        <w:t>)</w:t>
      </w:r>
    </w:p>
    <w:p w14:paraId="16D00C8F" w14:textId="77777777" w:rsidR="00662132" w:rsidRPr="00662132" w:rsidRDefault="00662132" w:rsidP="00662132">
      <w:pPr>
        <w:ind w:left="992" w:hanging="992"/>
        <w:jc w:val="center"/>
        <w:rPr>
          <w:rFonts w:ascii="Arial" w:hAnsi="Arial"/>
          <w:sz w:val="16"/>
          <w:szCs w:val="16"/>
        </w:rPr>
      </w:pPr>
    </w:p>
    <w:p w14:paraId="467E74E2" w14:textId="77777777" w:rsidR="00662132" w:rsidRPr="007E2A70" w:rsidRDefault="00662132" w:rsidP="00662132">
      <w:pPr>
        <w:suppressAutoHyphens/>
        <w:jc w:val="center"/>
        <w:rPr>
          <w:rFonts w:ascii="Arial" w:hAnsi="Arial"/>
        </w:rPr>
      </w:pPr>
    </w:p>
    <w:p w14:paraId="7C56DF02" w14:textId="77777777" w:rsidR="00662132" w:rsidRPr="007E2A70" w:rsidRDefault="00662132" w:rsidP="00662132">
      <w:pPr>
        <w:pStyle w:val="Text"/>
        <w:ind w:left="0"/>
        <w:jc w:val="center"/>
        <w:rPr>
          <w:b/>
          <w:sz w:val="28"/>
          <w:szCs w:val="28"/>
        </w:rPr>
      </w:pPr>
      <w:r w:rsidRPr="007E2A70">
        <w:rPr>
          <w:b/>
          <w:sz w:val="28"/>
          <w:szCs w:val="28"/>
        </w:rPr>
        <w:t xml:space="preserve">Besondere Bedingungen für die </w:t>
      </w:r>
      <w:r w:rsidRPr="007E2A70">
        <w:rPr>
          <w:b/>
          <w:sz w:val="28"/>
          <w:szCs w:val="28"/>
        </w:rPr>
        <w:br/>
        <w:t>Versicherung von Umzugsgut</w:t>
      </w:r>
    </w:p>
    <w:p w14:paraId="2BB658EC" w14:textId="77777777" w:rsidR="00662132" w:rsidRPr="00662132" w:rsidRDefault="00662132" w:rsidP="00662132">
      <w:pPr>
        <w:ind w:left="992" w:hanging="992"/>
        <w:jc w:val="center"/>
        <w:rPr>
          <w:rFonts w:ascii="Arial" w:hAnsi="Arial"/>
          <w:sz w:val="16"/>
          <w:szCs w:val="16"/>
        </w:rPr>
      </w:pPr>
    </w:p>
    <w:p w14:paraId="0D7E1FB1" w14:textId="77777777" w:rsidR="00662132" w:rsidRPr="007E2A70" w:rsidRDefault="00662132" w:rsidP="00662132">
      <w:pPr>
        <w:jc w:val="center"/>
        <w:rPr>
          <w:rFonts w:ascii="Arial" w:hAnsi="Arial"/>
        </w:rPr>
      </w:pPr>
    </w:p>
    <w:p w14:paraId="3A92877E" w14:textId="77777777" w:rsidR="00662132" w:rsidRPr="007E2A70" w:rsidRDefault="00662132" w:rsidP="00662132">
      <w:pPr>
        <w:jc w:val="center"/>
        <w:rPr>
          <w:rFonts w:ascii="Arial" w:hAnsi="Arial"/>
        </w:rPr>
      </w:pPr>
      <w:r w:rsidRPr="007E2A70">
        <w:rPr>
          <w:rFonts w:ascii="Arial" w:hAnsi="Arial"/>
        </w:rPr>
        <w:t>Musterbedingungen des GDV</w:t>
      </w:r>
    </w:p>
    <w:p w14:paraId="2264BD79" w14:textId="77777777" w:rsidR="00662132" w:rsidRPr="00662132" w:rsidRDefault="00662132" w:rsidP="00662132">
      <w:pPr>
        <w:ind w:left="992" w:hanging="992"/>
        <w:jc w:val="center"/>
        <w:rPr>
          <w:rFonts w:ascii="Arial" w:hAnsi="Arial"/>
          <w:sz w:val="16"/>
          <w:szCs w:val="16"/>
        </w:rPr>
      </w:pPr>
    </w:p>
    <w:p w14:paraId="0DC5967D" w14:textId="77777777" w:rsidR="000F3462" w:rsidRPr="007E2A70" w:rsidRDefault="000F3462" w:rsidP="000F3462">
      <w:pPr>
        <w:ind w:left="992" w:hanging="992"/>
        <w:jc w:val="cente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5187"/>
        <w:gridCol w:w="5236"/>
      </w:tblGrid>
      <w:tr w:rsidR="000F3462" w:rsidRPr="00414783" w14:paraId="1182FD83" w14:textId="77777777" w:rsidTr="00414783">
        <w:tc>
          <w:tcPr>
            <w:tcW w:w="10629" w:type="dxa"/>
            <w:gridSpan w:val="2"/>
            <w:tcBorders>
              <w:bottom w:val="nil"/>
            </w:tcBorders>
            <w:shd w:val="clear" w:color="auto" w:fill="auto"/>
          </w:tcPr>
          <w:p w14:paraId="702AF07B" w14:textId="77777777" w:rsidR="00662132" w:rsidRPr="00414783" w:rsidRDefault="00662132" w:rsidP="00414783">
            <w:pPr>
              <w:jc w:val="center"/>
              <w:rPr>
                <w:rFonts w:ascii="Arial" w:hAnsi="Arial"/>
              </w:rPr>
            </w:pPr>
          </w:p>
          <w:p w14:paraId="3A588BEE" w14:textId="77777777" w:rsidR="00662132" w:rsidRPr="00414783" w:rsidRDefault="002535CC" w:rsidP="00414783">
            <w:pPr>
              <w:jc w:val="center"/>
              <w:rPr>
                <w:rFonts w:ascii="Arial" w:hAnsi="Arial"/>
              </w:rPr>
            </w:pPr>
            <w:r w:rsidRPr="00414783">
              <w:rPr>
                <w:rFonts w:ascii="Arial" w:hAnsi="Arial"/>
              </w:rPr>
              <w:t>Inhaltsübersicht</w:t>
            </w:r>
          </w:p>
          <w:p w14:paraId="71FCFD01" w14:textId="77777777" w:rsidR="000F3462" w:rsidRPr="00414783" w:rsidRDefault="000F3462" w:rsidP="00414783">
            <w:pPr>
              <w:jc w:val="center"/>
              <w:rPr>
                <w:rFonts w:ascii="Arial" w:hAnsi="Arial"/>
                <w:sz w:val="18"/>
              </w:rPr>
            </w:pPr>
          </w:p>
        </w:tc>
      </w:tr>
      <w:tr w:rsidR="000F3462" w:rsidRPr="00414783" w14:paraId="7C24E194" w14:textId="77777777" w:rsidTr="00414783">
        <w:tc>
          <w:tcPr>
            <w:tcW w:w="5314" w:type="dxa"/>
            <w:tcBorders>
              <w:top w:val="nil"/>
              <w:right w:val="nil"/>
            </w:tcBorders>
            <w:shd w:val="clear" w:color="auto" w:fill="auto"/>
          </w:tcPr>
          <w:p w14:paraId="69443EAA" w14:textId="77777777" w:rsidR="00662132" w:rsidRPr="00414783" w:rsidRDefault="000F3462" w:rsidP="00414783">
            <w:pPr>
              <w:tabs>
                <w:tab w:val="left" w:pos="700"/>
              </w:tabs>
              <w:ind w:left="700" w:hanging="700"/>
              <w:rPr>
                <w:rFonts w:ascii="Arial" w:hAnsi="Arial"/>
                <w:b/>
                <w:sz w:val="18"/>
              </w:rPr>
            </w:pPr>
            <w:r w:rsidRPr="00414783">
              <w:rPr>
                <w:rFonts w:ascii="Arial" w:hAnsi="Arial"/>
                <w:b/>
                <w:sz w:val="18"/>
              </w:rPr>
              <w:t>1</w:t>
            </w:r>
            <w:r w:rsidRPr="00414783">
              <w:rPr>
                <w:rFonts w:ascii="Arial" w:hAnsi="Arial"/>
                <w:b/>
                <w:sz w:val="18"/>
              </w:rPr>
              <w:tab/>
              <w:t>Grundlage der Versicherung</w:t>
            </w:r>
          </w:p>
          <w:p w14:paraId="7A24E2CF" w14:textId="77777777" w:rsidR="00662132" w:rsidRPr="00414783" w:rsidRDefault="000F3462" w:rsidP="00414783">
            <w:pPr>
              <w:pStyle w:val="berschrift2"/>
              <w:tabs>
                <w:tab w:val="clear" w:pos="0"/>
                <w:tab w:val="clear" w:pos="284"/>
                <w:tab w:val="left" w:pos="700"/>
              </w:tabs>
              <w:suppressAutoHyphens w:val="0"/>
              <w:ind w:left="700" w:hanging="700"/>
              <w:jc w:val="both"/>
              <w:rPr>
                <w:rFonts w:ascii="Arial" w:hAnsi="Arial"/>
                <w:sz w:val="18"/>
              </w:rPr>
            </w:pPr>
            <w:r w:rsidRPr="00414783">
              <w:rPr>
                <w:rFonts w:ascii="Arial" w:hAnsi="Arial"/>
                <w:sz w:val="18"/>
              </w:rPr>
              <w:t>2</w:t>
            </w:r>
            <w:r w:rsidRPr="00414783">
              <w:rPr>
                <w:rFonts w:ascii="Arial" w:hAnsi="Arial"/>
                <w:sz w:val="18"/>
              </w:rPr>
              <w:tab/>
              <w:t>Versichertes Umzugsgut</w:t>
            </w:r>
          </w:p>
          <w:p w14:paraId="741E2458" w14:textId="77777777" w:rsidR="00662132" w:rsidRPr="00414783" w:rsidRDefault="000F3462" w:rsidP="00414783">
            <w:pPr>
              <w:tabs>
                <w:tab w:val="left" w:pos="700"/>
              </w:tabs>
              <w:ind w:left="700" w:hanging="700"/>
              <w:rPr>
                <w:rFonts w:ascii="Arial" w:hAnsi="Arial"/>
                <w:b/>
                <w:sz w:val="18"/>
              </w:rPr>
            </w:pPr>
            <w:r w:rsidRPr="00414783">
              <w:rPr>
                <w:rFonts w:ascii="Arial" w:hAnsi="Arial"/>
                <w:b/>
                <w:sz w:val="18"/>
              </w:rPr>
              <w:t>3</w:t>
            </w:r>
            <w:r w:rsidRPr="00414783">
              <w:rPr>
                <w:rFonts w:ascii="Arial" w:hAnsi="Arial"/>
                <w:b/>
                <w:sz w:val="18"/>
              </w:rPr>
              <w:tab/>
            </w:r>
            <w:r w:rsidR="007E2A70" w:rsidRPr="00414783">
              <w:rPr>
                <w:rFonts w:ascii="Arial" w:hAnsi="Arial"/>
                <w:b/>
                <w:sz w:val="18"/>
              </w:rPr>
              <w:t>Obliegenheiten</w:t>
            </w:r>
          </w:p>
          <w:p w14:paraId="43653BA1" w14:textId="77777777" w:rsidR="00662132" w:rsidRPr="00414783" w:rsidRDefault="000F3462" w:rsidP="00414783">
            <w:pPr>
              <w:tabs>
                <w:tab w:val="left" w:pos="700"/>
              </w:tabs>
              <w:ind w:left="700" w:hanging="700"/>
              <w:jc w:val="both"/>
              <w:rPr>
                <w:rFonts w:ascii="Arial" w:hAnsi="Arial"/>
                <w:b/>
                <w:sz w:val="18"/>
              </w:rPr>
            </w:pPr>
            <w:r w:rsidRPr="00414783">
              <w:rPr>
                <w:rFonts w:ascii="Arial" w:hAnsi="Arial"/>
                <w:b/>
                <w:sz w:val="18"/>
              </w:rPr>
              <w:t>4</w:t>
            </w:r>
            <w:r w:rsidRPr="00414783">
              <w:rPr>
                <w:rFonts w:ascii="Arial" w:hAnsi="Arial"/>
                <w:b/>
                <w:sz w:val="18"/>
              </w:rPr>
              <w:tab/>
              <w:t>Nicht ersatzpflicht</w:t>
            </w:r>
            <w:r w:rsidRPr="00414783">
              <w:rPr>
                <w:rFonts w:ascii="Arial" w:hAnsi="Arial"/>
                <w:b/>
                <w:sz w:val="18"/>
              </w:rPr>
              <w:t>i</w:t>
            </w:r>
            <w:r w:rsidRPr="00414783">
              <w:rPr>
                <w:rFonts w:ascii="Arial" w:hAnsi="Arial"/>
                <w:b/>
                <w:sz w:val="18"/>
              </w:rPr>
              <w:t>ge Schäden</w:t>
            </w:r>
          </w:p>
          <w:p w14:paraId="1DAD6C7A" w14:textId="77777777" w:rsidR="005C4845" w:rsidRPr="00414783" w:rsidRDefault="005C4845" w:rsidP="00414783">
            <w:pPr>
              <w:tabs>
                <w:tab w:val="left" w:pos="709"/>
              </w:tabs>
              <w:jc w:val="both"/>
              <w:rPr>
                <w:rFonts w:ascii="Arial" w:hAnsi="Arial"/>
                <w:sz w:val="18"/>
              </w:rPr>
            </w:pPr>
          </w:p>
        </w:tc>
        <w:tc>
          <w:tcPr>
            <w:tcW w:w="5315" w:type="dxa"/>
            <w:tcBorders>
              <w:top w:val="nil"/>
              <w:left w:val="nil"/>
            </w:tcBorders>
            <w:shd w:val="clear" w:color="auto" w:fill="auto"/>
          </w:tcPr>
          <w:p w14:paraId="212747C2" w14:textId="77777777" w:rsidR="00662132" w:rsidRPr="00414783" w:rsidRDefault="000F3462" w:rsidP="00414783">
            <w:pPr>
              <w:tabs>
                <w:tab w:val="left" w:pos="796"/>
              </w:tabs>
              <w:ind w:left="792" w:hanging="792"/>
              <w:rPr>
                <w:rFonts w:ascii="Arial" w:hAnsi="Arial"/>
                <w:b/>
                <w:sz w:val="18"/>
              </w:rPr>
            </w:pPr>
            <w:r w:rsidRPr="00414783">
              <w:rPr>
                <w:rFonts w:ascii="Arial" w:hAnsi="Arial"/>
                <w:b/>
                <w:sz w:val="18"/>
              </w:rPr>
              <w:t>5</w:t>
            </w:r>
            <w:r w:rsidRPr="00414783">
              <w:rPr>
                <w:rFonts w:ascii="Arial" w:hAnsi="Arial"/>
                <w:b/>
                <w:sz w:val="18"/>
              </w:rPr>
              <w:tab/>
            </w:r>
            <w:r w:rsidR="007E2A70" w:rsidRPr="00414783">
              <w:rPr>
                <w:rFonts w:ascii="Arial" w:hAnsi="Arial"/>
                <w:b/>
                <w:sz w:val="18"/>
              </w:rPr>
              <w:t>Dauer der Versicherung</w:t>
            </w:r>
          </w:p>
          <w:p w14:paraId="7AF8A33B" w14:textId="77777777" w:rsidR="00662132" w:rsidRPr="00414783" w:rsidRDefault="007E2A70" w:rsidP="00414783">
            <w:pPr>
              <w:tabs>
                <w:tab w:val="left" w:pos="796"/>
              </w:tabs>
              <w:ind w:left="792" w:hanging="792"/>
              <w:jc w:val="both"/>
              <w:rPr>
                <w:rFonts w:ascii="Arial" w:hAnsi="Arial"/>
                <w:b/>
                <w:sz w:val="18"/>
              </w:rPr>
            </w:pPr>
            <w:r w:rsidRPr="00414783">
              <w:rPr>
                <w:rFonts w:ascii="Arial" w:hAnsi="Arial"/>
                <w:b/>
                <w:sz w:val="18"/>
              </w:rPr>
              <w:t>6</w:t>
            </w:r>
            <w:r w:rsidRPr="00414783">
              <w:rPr>
                <w:rFonts w:ascii="Arial" w:hAnsi="Arial"/>
                <w:b/>
                <w:sz w:val="18"/>
              </w:rPr>
              <w:tab/>
              <w:t>Versicherungswert</w:t>
            </w:r>
          </w:p>
          <w:p w14:paraId="2F9B12C2" w14:textId="77777777" w:rsidR="0076353D" w:rsidRDefault="0076353D" w:rsidP="0076353D">
            <w:pPr>
              <w:tabs>
                <w:tab w:val="left" w:pos="796"/>
              </w:tabs>
              <w:ind w:left="792" w:hanging="792"/>
              <w:jc w:val="both"/>
              <w:rPr>
                <w:rFonts w:ascii="Arial" w:hAnsi="Arial"/>
                <w:b/>
                <w:sz w:val="18"/>
              </w:rPr>
            </w:pPr>
            <w:r>
              <w:rPr>
                <w:rFonts w:ascii="Arial" w:hAnsi="Arial"/>
                <w:b/>
                <w:sz w:val="18"/>
              </w:rPr>
              <w:t>7</w:t>
            </w:r>
            <w:r>
              <w:rPr>
                <w:rFonts w:ascii="Arial" w:hAnsi="Arial"/>
                <w:b/>
                <w:sz w:val="18"/>
              </w:rPr>
              <w:tab/>
              <w:t>Ersatzleistung</w:t>
            </w:r>
          </w:p>
          <w:p w14:paraId="6B2B6DEC" w14:textId="77777777" w:rsidR="00BF7EEC" w:rsidRPr="00BF7EEC" w:rsidRDefault="0076353D" w:rsidP="0076353D">
            <w:pPr>
              <w:tabs>
                <w:tab w:val="left" w:pos="796"/>
              </w:tabs>
              <w:ind w:left="792" w:hanging="792"/>
              <w:jc w:val="both"/>
              <w:rPr>
                <w:rFonts w:ascii="Arial" w:hAnsi="Arial"/>
                <w:b/>
                <w:sz w:val="18"/>
              </w:rPr>
            </w:pPr>
            <w:r>
              <w:rPr>
                <w:rFonts w:ascii="Arial" w:hAnsi="Arial"/>
                <w:b/>
                <w:sz w:val="18"/>
              </w:rPr>
              <w:t>8</w:t>
            </w:r>
            <w:r w:rsidR="000F3462" w:rsidRPr="00414783">
              <w:rPr>
                <w:rFonts w:ascii="Arial" w:hAnsi="Arial"/>
                <w:b/>
                <w:sz w:val="18"/>
              </w:rPr>
              <w:tab/>
            </w:r>
            <w:r>
              <w:rPr>
                <w:rFonts w:ascii="Arial" w:hAnsi="Arial"/>
                <w:b/>
                <w:sz w:val="18"/>
              </w:rPr>
              <w:t>Meinungsverschiedenheiten</w:t>
            </w:r>
          </w:p>
        </w:tc>
      </w:tr>
    </w:tbl>
    <w:p w14:paraId="2DEEEBDE" w14:textId="77777777" w:rsidR="00662132" w:rsidRDefault="00662132" w:rsidP="007E2A70">
      <w:pPr>
        <w:suppressAutoHyphens/>
        <w:jc w:val="center"/>
        <w:rPr>
          <w:rFonts w:ascii="Arial" w:hAnsi="Arial"/>
        </w:rPr>
      </w:pPr>
    </w:p>
    <w:p w14:paraId="41DB7C4A" w14:textId="77777777" w:rsidR="000F3462" w:rsidRPr="007E2A70" w:rsidRDefault="000F3462">
      <w:pPr>
        <w:ind w:left="709" w:hanging="709"/>
        <w:jc w:val="both"/>
        <w:rPr>
          <w:rFonts w:ascii="Arial" w:hAnsi="Arial"/>
          <w:b/>
          <w:sz w:val="18"/>
        </w:rPr>
        <w:sectPr w:rsidR="000F3462" w:rsidRPr="007E2A70" w:rsidSect="00662132">
          <w:headerReference w:type="default" r:id="rId10"/>
          <w:footerReference w:type="default" r:id="rId11"/>
          <w:headerReference w:type="first" r:id="rId12"/>
          <w:footerReference w:type="first" r:id="rId13"/>
          <w:endnotePr>
            <w:numFmt w:val="decimal"/>
          </w:endnotePr>
          <w:type w:val="continuous"/>
          <w:pgSz w:w="11907" w:h="16840" w:code="9"/>
          <w:pgMar w:top="1066" w:right="850" w:bottom="567" w:left="850" w:header="357" w:footer="351" w:gutter="0"/>
          <w:pgNumType w:start="1"/>
          <w:cols w:space="737"/>
          <w:noEndnote/>
          <w:titlePg/>
          <w:docGrid w:linePitch="272"/>
        </w:sectPr>
      </w:pPr>
    </w:p>
    <w:p w14:paraId="1C3BF827" w14:textId="77777777" w:rsidR="00662132" w:rsidRDefault="000F3462" w:rsidP="00662132">
      <w:pPr>
        <w:keepNext/>
        <w:spacing w:after="100"/>
        <w:ind w:left="709" w:hanging="709"/>
        <w:jc w:val="both"/>
        <w:rPr>
          <w:rFonts w:ascii="Arial" w:hAnsi="Arial"/>
          <w:b/>
          <w:sz w:val="18"/>
        </w:rPr>
      </w:pPr>
      <w:r w:rsidRPr="007E2A70">
        <w:rPr>
          <w:rFonts w:ascii="Arial" w:hAnsi="Arial"/>
          <w:b/>
          <w:sz w:val="18"/>
        </w:rPr>
        <w:t>1</w:t>
      </w:r>
      <w:r w:rsidRPr="007E2A70">
        <w:rPr>
          <w:rFonts w:ascii="Arial" w:hAnsi="Arial"/>
          <w:b/>
          <w:sz w:val="18"/>
        </w:rPr>
        <w:tab/>
        <w:t>Grundlage der Versicherung</w:t>
      </w:r>
    </w:p>
    <w:p w14:paraId="43ABBEC5" w14:textId="77777777" w:rsidR="00662132" w:rsidRDefault="000F3462" w:rsidP="00662132">
      <w:pPr>
        <w:spacing w:after="100"/>
        <w:ind w:left="709" w:hanging="709"/>
        <w:jc w:val="both"/>
        <w:rPr>
          <w:rFonts w:ascii="Arial" w:hAnsi="Arial"/>
          <w:sz w:val="18"/>
        </w:rPr>
      </w:pPr>
      <w:r w:rsidRPr="007E2A70">
        <w:rPr>
          <w:rFonts w:ascii="Arial" w:hAnsi="Arial"/>
          <w:sz w:val="18"/>
        </w:rPr>
        <w:tab/>
        <w:t>Wird im Rahmen der DTV-Güter 2000/</w:t>
      </w:r>
      <w:r w:rsidR="001F6B1C">
        <w:rPr>
          <w:rFonts w:ascii="Arial" w:hAnsi="Arial"/>
          <w:sz w:val="18"/>
        </w:rPr>
        <w:t>2011</w:t>
      </w:r>
      <w:r w:rsidRPr="007E2A70">
        <w:rPr>
          <w:rFonts w:ascii="Arial" w:hAnsi="Arial"/>
          <w:sz w:val="18"/>
        </w:rPr>
        <w:t xml:space="preserve"> volle Deckung Umzugsgut versichert, finden die nachfo</w:t>
      </w:r>
      <w:r w:rsidRPr="007E2A70">
        <w:rPr>
          <w:rFonts w:ascii="Arial" w:hAnsi="Arial"/>
          <w:sz w:val="18"/>
        </w:rPr>
        <w:t>l</w:t>
      </w:r>
      <w:r w:rsidRPr="007E2A70">
        <w:rPr>
          <w:rFonts w:ascii="Arial" w:hAnsi="Arial"/>
          <w:sz w:val="18"/>
        </w:rPr>
        <w:t>genden besonderen Bedingungen Anwe</w:t>
      </w:r>
      <w:r w:rsidRPr="007E2A70">
        <w:rPr>
          <w:rFonts w:ascii="Arial" w:hAnsi="Arial"/>
          <w:sz w:val="18"/>
        </w:rPr>
        <w:t>n</w:t>
      </w:r>
      <w:r w:rsidRPr="007E2A70">
        <w:rPr>
          <w:rFonts w:ascii="Arial" w:hAnsi="Arial"/>
          <w:sz w:val="18"/>
        </w:rPr>
        <w:t>dung.</w:t>
      </w:r>
    </w:p>
    <w:p w14:paraId="2EC253CC" w14:textId="77777777" w:rsidR="00662132" w:rsidRDefault="000F3462" w:rsidP="00662132">
      <w:pPr>
        <w:keepNext/>
        <w:spacing w:after="100"/>
        <w:ind w:left="709" w:hanging="709"/>
        <w:jc w:val="both"/>
        <w:rPr>
          <w:rFonts w:ascii="Arial" w:hAnsi="Arial"/>
          <w:b/>
          <w:sz w:val="18"/>
        </w:rPr>
      </w:pPr>
      <w:r w:rsidRPr="007E2A70">
        <w:rPr>
          <w:rFonts w:ascii="Arial" w:hAnsi="Arial"/>
          <w:b/>
          <w:sz w:val="18"/>
        </w:rPr>
        <w:t>2</w:t>
      </w:r>
      <w:r w:rsidRPr="007E2A70">
        <w:rPr>
          <w:rFonts w:ascii="Arial" w:hAnsi="Arial"/>
          <w:b/>
          <w:sz w:val="18"/>
        </w:rPr>
        <w:tab/>
        <w:t>Versichertes Umzugsgut</w:t>
      </w:r>
    </w:p>
    <w:p w14:paraId="701596D8" w14:textId="77777777" w:rsidR="00662132" w:rsidRDefault="000F3462" w:rsidP="00662132">
      <w:pPr>
        <w:spacing w:after="100"/>
        <w:ind w:left="709" w:hanging="709"/>
        <w:jc w:val="both"/>
        <w:rPr>
          <w:rFonts w:ascii="Arial" w:hAnsi="Arial"/>
          <w:sz w:val="18"/>
        </w:rPr>
      </w:pPr>
      <w:r w:rsidRPr="007E2A70">
        <w:rPr>
          <w:rFonts w:ascii="Arial" w:hAnsi="Arial"/>
          <w:sz w:val="18"/>
        </w:rPr>
        <w:t>2.1</w:t>
      </w:r>
      <w:r w:rsidRPr="007E2A70">
        <w:rPr>
          <w:rFonts w:ascii="Arial" w:hAnsi="Arial"/>
          <w:sz w:val="18"/>
        </w:rPr>
        <w:tab/>
        <w:t>Umzugsgut sind alle Gegenstände, die nach der allgemeinen Auffassung als Teile einer Wohnungs- oder Büroeinrichtung a</w:t>
      </w:r>
      <w:r w:rsidRPr="007E2A70">
        <w:rPr>
          <w:rFonts w:ascii="Arial" w:hAnsi="Arial"/>
          <w:sz w:val="18"/>
        </w:rPr>
        <w:t>n</w:t>
      </w:r>
      <w:r w:rsidRPr="007E2A70">
        <w:rPr>
          <w:rFonts w:ascii="Arial" w:hAnsi="Arial"/>
          <w:sz w:val="18"/>
        </w:rPr>
        <w:t>zusehen sind.</w:t>
      </w:r>
    </w:p>
    <w:p w14:paraId="0748BF3A" w14:textId="77777777" w:rsidR="00662132" w:rsidRDefault="000F3462" w:rsidP="00662132">
      <w:pPr>
        <w:keepNext/>
        <w:spacing w:after="100"/>
        <w:ind w:left="709" w:hanging="709"/>
        <w:jc w:val="both"/>
        <w:rPr>
          <w:rFonts w:ascii="Arial" w:hAnsi="Arial"/>
          <w:sz w:val="18"/>
        </w:rPr>
      </w:pPr>
      <w:r w:rsidRPr="007E2A70">
        <w:rPr>
          <w:rFonts w:ascii="Arial" w:hAnsi="Arial"/>
          <w:sz w:val="18"/>
        </w:rPr>
        <w:t>2.2.</w:t>
      </w:r>
      <w:r w:rsidRPr="007E2A70">
        <w:rPr>
          <w:rFonts w:ascii="Arial" w:hAnsi="Arial"/>
          <w:sz w:val="18"/>
        </w:rPr>
        <w:tab/>
        <w:t>Nicht versichert sind</w:t>
      </w:r>
    </w:p>
    <w:p w14:paraId="0CDCD722" w14:textId="77777777" w:rsidR="00662132" w:rsidRDefault="000F3462" w:rsidP="00662132">
      <w:pPr>
        <w:spacing w:after="100"/>
        <w:ind w:left="709" w:hanging="709"/>
        <w:jc w:val="both"/>
        <w:rPr>
          <w:rFonts w:ascii="Arial" w:hAnsi="Arial"/>
          <w:sz w:val="18"/>
        </w:rPr>
      </w:pPr>
      <w:r w:rsidRPr="007E2A70">
        <w:rPr>
          <w:rFonts w:ascii="Arial" w:hAnsi="Arial"/>
          <w:sz w:val="18"/>
        </w:rPr>
        <w:t>2.2.1</w:t>
      </w:r>
      <w:r w:rsidRPr="007E2A70">
        <w:rPr>
          <w:rFonts w:ascii="Arial" w:hAnsi="Arial"/>
          <w:sz w:val="18"/>
        </w:rPr>
        <w:tab/>
        <w:t>Tiere, Pflanzen, Schmucksachen und Edelsteine, Perlen, Geld, ungemünzte Edelmetalle, Wertpapi</w:t>
      </w:r>
      <w:r w:rsidRPr="007E2A70">
        <w:rPr>
          <w:rFonts w:ascii="Arial" w:hAnsi="Arial"/>
          <w:sz w:val="18"/>
        </w:rPr>
        <w:t>e</w:t>
      </w:r>
      <w:r w:rsidRPr="007E2A70">
        <w:rPr>
          <w:rFonts w:ascii="Arial" w:hAnsi="Arial"/>
          <w:sz w:val="18"/>
        </w:rPr>
        <w:t>re und Urku</w:t>
      </w:r>
      <w:r w:rsidRPr="007E2A70">
        <w:rPr>
          <w:rFonts w:ascii="Arial" w:hAnsi="Arial"/>
          <w:sz w:val="18"/>
        </w:rPr>
        <w:t>n</w:t>
      </w:r>
      <w:r w:rsidRPr="007E2A70">
        <w:rPr>
          <w:rFonts w:ascii="Arial" w:hAnsi="Arial"/>
          <w:sz w:val="18"/>
        </w:rPr>
        <w:t>den,</w:t>
      </w:r>
    </w:p>
    <w:p w14:paraId="0F35FCA2" w14:textId="77777777" w:rsidR="00662132" w:rsidRDefault="000F3462" w:rsidP="00662132">
      <w:pPr>
        <w:keepNext/>
        <w:spacing w:after="100"/>
        <w:ind w:left="709" w:hanging="709"/>
        <w:jc w:val="both"/>
        <w:rPr>
          <w:rFonts w:ascii="Arial" w:hAnsi="Arial"/>
          <w:sz w:val="18"/>
        </w:rPr>
      </w:pPr>
      <w:r w:rsidRPr="007E2A70">
        <w:rPr>
          <w:rFonts w:ascii="Arial" w:hAnsi="Arial"/>
          <w:sz w:val="18"/>
        </w:rPr>
        <w:t>2.2.2</w:t>
      </w:r>
      <w:r w:rsidRPr="007E2A70">
        <w:rPr>
          <w:rFonts w:ascii="Arial" w:hAnsi="Arial"/>
          <w:sz w:val="18"/>
        </w:rPr>
        <w:tab/>
        <w:t>Lebens- und Genussmittel</w:t>
      </w:r>
    </w:p>
    <w:p w14:paraId="25299F0E" w14:textId="77777777" w:rsidR="00662132" w:rsidRDefault="007E2A70" w:rsidP="00662132">
      <w:pPr>
        <w:keepNext/>
        <w:spacing w:after="100"/>
        <w:ind w:left="709" w:hanging="709"/>
        <w:jc w:val="both"/>
        <w:rPr>
          <w:rFonts w:ascii="Arial" w:hAnsi="Arial"/>
          <w:b/>
          <w:sz w:val="18"/>
        </w:rPr>
      </w:pPr>
      <w:r w:rsidRPr="007E2A70">
        <w:rPr>
          <w:rFonts w:ascii="Arial" w:hAnsi="Arial"/>
          <w:b/>
          <w:sz w:val="18"/>
        </w:rPr>
        <w:t>3</w:t>
      </w:r>
      <w:r w:rsidRPr="007E2A70">
        <w:rPr>
          <w:rFonts w:ascii="Arial" w:hAnsi="Arial"/>
          <w:b/>
          <w:sz w:val="18"/>
        </w:rPr>
        <w:tab/>
        <w:t>Obliegenheiten</w:t>
      </w:r>
    </w:p>
    <w:p w14:paraId="48C7AB82" w14:textId="77777777" w:rsidR="00662132" w:rsidRDefault="000F3462" w:rsidP="00662132">
      <w:pPr>
        <w:pStyle w:val="aaadejong"/>
        <w:tabs>
          <w:tab w:val="left" w:pos="709"/>
        </w:tabs>
        <w:spacing w:after="100"/>
      </w:pPr>
      <w:r w:rsidRPr="007E2A70">
        <w:t>3.1</w:t>
      </w:r>
      <w:r w:rsidRPr="007E2A70">
        <w:tab/>
        <w:t>Dem Versicherungsnehmer obliegt es, dafür zu sorgen, dass</w:t>
      </w:r>
    </w:p>
    <w:p w14:paraId="2F0B88BF" w14:textId="77777777" w:rsidR="00662132" w:rsidRDefault="000F3462" w:rsidP="00662132">
      <w:pPr>
        <w:spacing w:after="100"/>
        <w:ind w:left="709" w:hanging="709"/>
        <w:jc w:val="both"/>
        <w:rPr>
          <w:rFonts w:ascii="Arial" w:hAnsi="Arial"/>
          <w:sz w:val="18"/>
        </w:rPr>
      </w:pPr>
      <w:r w:rsidRPr="007E2A70">
        <w:rPr>
          <w:rFonts w:ascii="Arial" w:hAnsi="Arial"/>
          <w:sz w:val="18"/>
        </w:rPr>
        <w:t>3.1.1</w:t>
      </w:r>
      <w:r w:rsidRPr="007E2A70">
        <w:rPr>
          <w:rFonts w:ascii="Arial" w:hAnsi="Arial"/>
          <w:sz w:val="18"/>
        </w:rPr>
        <w:tab/>
        <w:t>der Umzug von einem Möbelspediteur durchg</w:t>
      </w:r>
      <w:r w:rsidRPr="007E2A70">
        <w:rPr>
          <w:rFonts w:ascii="Arial" w:hAnsi="Arial"/>
          <w:sz w:val="18"/>
        </w:rPr>
        <w:t>e</w:t>
      </w:r>
      <w:r w:rsidRPr="007E2A70">
        <w:rPr>
          <w:rFonts w:ascii="Arial" w:hAnsi="Arial"/>
          <w:sz w:val="18"/>
        </w:rPr>
        <w:t>führt wird und die Verpackung durch erfahrene Packer des Möbe</w:t>
      </w:r>
      <w:r w:rsidRPr="007E2A70">
        <w:rPr>
          <w:rFonts w:ascii="Arial" w:hAnsi="Arial"/>
          <w:sz w:val="18"/>
        </w:rPr>
        <w:t>l</w:t>
      </w:r>
      <w:r w:rsidRPr="007E2A70">
        <w:rPr>
          <w:rFonts w:ascii="Arial" w:hAnsi="Arial"/>
          <w:sz w:val="18"/>
        </w:rPr>
        <w:t>spediteurs erfolgt;</w:t>
      </w:r>
    </w:p>
    <w:p w14:paraId="6889DE27" w14:textId="77777777" w:rsidR="00662132" w:rsidRDefault="000F3462" w:rsidP="00662132">
      <w:pPr>
        <w:spacing w:after="100"/>
        <w:ind w:left="709" w:hanging="709"/>
        <w:jc w:val="both"/>
        <w:rPr>
          <w:rFonts w:ascii="Arial" w:hAnsi="Arial"/>
          <w:sz w:val="18"/>
        </w:rPr>
      </w:pPr>
      <w:r w:rsidRPr="007E2A70">
        <w:rPr>
          <w:rFonts w:ascii="Arial" w:hAnsi="Arial"/>
          <w:sz w:val="18"/>
        </w:rPr>
        <w:t>3.1.2</w:t>
      </w:r>
      <w:r w:rsidRPr="007E2A70">
        <w:rPr>
          <w:rFonts w:ascii="Arial" w:hAnsi="Arial"/>
          <w:sz w:val="18"/>
        </w:rPr>
        <w:tab/>
        <w:t>bei Landtransporten Spezialmöbelwagen benutzt werden, sofern nicht durch besondere Vereinbaru</w:t>
      </w:r>
      <w:r w:rsidRPr="007E2A70">
        <w:rPr>
          <w:rFonts w:ascii="Arial" w:hAnsi="Arial"/>
          <w:sz w:val="18"/>
        </w:rPr>
        <w:t>n</w:t>
      </w:r>
      <w:r w:rsidRPr="007E2A70">
        <w:rPr>
          <w:rFonts w:ascii="Arial" w:hAnsi="Arial"/>
          <w:sz w:val="18"/>
        </w:rPr>
        <w:t>gen auch Beförderungen mit anderen Transportmi</w:t>
      </w:r>
      <w:r w:rsidRPr="007E2A70">
        <w:rPr>
          <w:rFonts w:ascii="Arial" w:hAnsi="Arial"/>
          <w:sz w:val="18"/>
        </w:rPr>
        <w:t>t</w:t>
      </w:r>
      <w:r w:rsidRPr="007E2A70">
        <w:rPr>
          <w:rFonts w:ascii="Arial" w:hAnsi="Arial"/>
          <w:sz w:val="18"/>
        </w:rPr>
        <w:t>teln zugela</w:t>
      </w:r>
      <w:r w:rsidRPr="007E2A70">
        <w:rPr>
          <w:rFonts w:ascii="Arial" w:hAnsi="Arial"/>
          <w:sz w:val="18"/>
        </w:rPr>
        <w:t>s</w:t>
      </w:r>
      <w:r w:rsidRPr="007E2A70">
        <w:rPr>
          <w:rFonts w:ascii="Arial" w:hAnsi="Arial"/>
          <w:sz w:val="18"/>
        </w:rPr>
        <w:t>sen sind;</w:t>
      </w:r>
    </w:p>
    <w:p w14:paraId="0C1C650C" w14:textId="77777777" w:rsidR="00662132" w:rsidRDefault="000F3462" w:rsidP="00662132">
      <w:pPr>
        <w:spacing w:after="100"/>
        <w:ind w:left="709" w:hanging="709"/>
        <w:jc w:val="both"/>
        <w:rPr>
          <w:rFonts w:ascii="Arial" w:hAnsi="Arial"/>
          <w:sz w:val="18"/>
        </w:rPr>
      </w:pPr>
      <w:r w:rsidRPr="007E2A70">
        <w:rPr>
          <w:rFonts w:ascii="Arial" w:hAnsi="Arial"/>
          <w:sz w:val="18"/>
        </w:rPr>
        <w:t>3.1.3</w:t>
      </w:r>
      <w:r w:rsidRPr="007E2A70">
        <w:rPr>
          <w:rFonts w:ascii="Arial" w:hAnsi="Arial"/>
          <w:sz w:val="18"/>
        </w:rPr>
        <w:tab/>
        <w:t xml:space="preserve">bei Seetransporten das Umzugsgut in Kisten, </w:t>
      </w:r>
      <w:proofErr w:type="spellStart"/>
      <w:r w:rsidRPr="007E2A70">
        <w:rPr>
          <w:rFonts w:ascii="Arial" w:hAnsi="Arial"/>
          <w:sz w:val="18"/>
        </w:rPr>
        <w:t>Lif</w:t>
      </w:r>
      <w:r w:rsidRPr="007E2A70">
        <w:rPr>
          <w:rFonts w:ascii="Arial" w:hAnsi="Arial"/>
          <w:sz w:val="18"/>
        </w:rPr>
        <w:t>t</w:t>
      </w:r>
      <w:r w:rsidRPr="007E2A70">
        <w:rPr>
          <w:rFonts w:ascii="Arial" w:hAnsi="Arial"/>
          <w:sz w:val="18"/>
        </w:rPr>
        <w:t>vans</w:t>
      </w:r>
      <w:proofErr w:type="spellEnd"/>
      <w:r w:rsidRPr="007E2A70">
        <w:rPr>
          <w:rFonts w:ascii="Arial" w:hAnsi="Arial"/>
          <w:sz w:val="18"/>
        </w:rPr>
        <w:t xml:space="preserve"> oder geschlossenen und unbeschädigten Co</w:t>
      </w:r>
      <w:r w:rsidRPr="007E2A70">
        <w:rPr>
          <w:rFonts w:ascii="Arial" w:hAnsi="Arial"/>
          <w:sz w:val="18"/>
        </w:rPr>
        <w:t>n</w:t>
      </w:r>
      <w:r w:rsidRPr="007E2A70">
        <w:rPr>
          <w:rFonts w:ascii="Arial" w:hAnsi="Arial"/>
          <w:sz w:val="18"/>
        </w:rPr>
        <w:t>tainern beanspruchungsgerecht verpackt und g</w:t>
      </w:r>
      <w:r w:rsidRPr="007E2A70">
        <w:rPr>
          <w:rFonts w:ascii="Arial" w:hAnsi="Arial"/>
          <w:sz w:val="18"/>
        </w:rPr>
        <w:t>e</w:t>
      </w:r>
      <w:r w:rsidRPr="007E2A70">
        <w:rPr>
          <w:rFonts w:ascii="Arial" w:hAnsi="Arial"/>
          <w:sz w:val="18"/>
        </w:rPr>
        <w:t xml:space="preserve">staut und Kisten und </w:t>
      </w:r>
      <w:proofErr w:type="spellStart"/>
      <w:r w:rsidRPr="007E2A70">
        <w:rPr>
          <w:rFonts w:ascii="Arial" w:hAnsi="Arial"/>
          <w:sz w:val="18"/>
        </w:rPr>
        <w:t>Liftvans</w:t>
      </w:r>
      <w:proofErr w:type="spellEnd"/>
      <w:r w:rsidRPr="007E2A70">
        <w:rPr>
          <w:rFonts w:ascii="Arial" w:hAnsi="Arial"/>
          <w:sz w:val="18"/>
        </w:rPr>
        <w:t xml:space="preserve"> unter Deck verladen we</w:t>
      </w:r>
      <w:r w:rsidRPr="007E2A70">
        <w:rPr>
          <w:rFonts w:ascii="Arial" w:hAnsi="Arial"/>
          <w:sz w:val="18"/>
        </w:rPr>
        <w:t>r</w:t>
      </w:r>
      <w:r w:rsidRPr="007E2A70">
        <w:rPr>
          <w:rFonts w:ascii="Arial" w:hAnsi="Arial"/>
          <w:sz w:val="18"/>
        </w:rPr>
        <w:t>den.</w:t>
      </w:r>
    </w:p>
    <w:p w14:paraId="385D3FE6" w14:textId="77777777" w:rsidR="00662132" w:rsidRDefault="000F3462" w:rsidP="00662132">
      <w:pPr>
        <w:tabs>
          <w:tab w:val="left" w:pos="567"/>
        </w:tabs>
        <w:spacing w:after="100"/>
        <w:ind w:left="709" w:hanging="709"/>
        <w:jc w:val="both"/>
        <w:rPr>
          <w:rFonts w:ascii="Arial" w:hAnsi="Arial"/>
          <w:sz w:val="18"/>
        </w:rPr>
      </w:pPr>
      <w:r w:rsidRPr="007E2A70">
        <w:rPr>
          <w:rFonts w:ascii="Arial" w:hAnsi="Arial"/>
          <w:sz w:val="18"/>
        </w:rPr>
        <w:t>3.2</w:t>
      </w:r>
      <w:r w:rsidRPr="007E2A70">
        <w:rPr>
          <w:rFonts w:ascii="Arial" w:hAnsi="Arial"/>
          <w:sz w:val="18"/>
        </w:rPr>
        <w:tab/>
      </w:r>
      <w:r w:rsidRPr="007E2A70">
        <w:rPr>
          <w:rFonts w:ascii="Arial" w:hAnsi="Arial"/>
          <w:sz w:val="18"/>
        </w:rPr>
        <w:tab/>
        <w:t>Verletzt der Versicherungsnehmer eine dieser oder sonst vertraglich vereinbarte Obliegenheiten vorsät</w:t>
      </w:r>
      <w:r w:rsidRPr="007E2A70">
        <w:rPr>
          <w:rFonts w:ascii="Arial" w:hAnsi="Arial"/>
          <w:sz w:val="18"/>
        </w:rPr>
        <w:t>z</w:t>
      </w:r>
      <w:r w:rsidRPr="007E2A70">
        <w:rPr>
          <w:rFonts w:ascii="Arial" w:hAnsi="Arial"/>
          <w:sz w:val="18"/>
        </w:rPr>
        <w:t xml:space="preserve">lich oder grob fahrlässig, ist der Versicherer von der Leistung frei, es sei denn, die Verletzung war nicht ursächlich für den Eintritt des Versicherungsfalls </w:t>
      </w:r>
      <w:r w:rsidRPr="007E2A70">
        <w:rPr>
          <w:rFonts w:ascii="Arial" w:hAnsi="Arial"/>
          <w:sz w:val="18"/>
        </w:rPr>
        <w:t>o</w:t>
      </w:r>
      <w:r w:rsidRPr="007E2A70">
        <w:rPr>
          <w:rFonts w:ascii="Arial" w:hAnsi="Arial"/>
          <w:sz w:val="18"/>
        </w:rPr>
        <w:t>der den Umfang der Leistung</w:t>
      </w:r>
      <w:r w:rsidRPr="007E2A70">
        <w:rPr>
          <w:rFonts w:ascii="Arial" w:hAnsi="Arial"/>
          <w:sz w:val="18"/>
        </w:rPr>
        <w:t>s</w:t>
      </w:r>
      <w:r w:rsidRPr="007E2A70">
        <w:rPr>
          <w:rFonts w:ascii="Arial" w:hAnsi="Arial"/>
          <w:sz w:val="18"/>
        </w:rPr>
        <w:t xml:space="preserve">pflicht. </w:t>
      </w:r>
    </w:p>
    <w:p w14:paraId="6C69196B" w14:textId="77777777" w:rsidR="00662132" w:rsidRDefault="000F3462" w:rsidP="00662132">
      <w:pPr>
        <w:keepNext/>
        <w:spacing w:after="100"/>
        <w:ind w:left="709" w:hanging="709"/>
        <w:jc w:val="both"/>
        <w:rPr>
          <w:rFonts w:ascii="Arial" w:hAnsi="Arial"/>
          <w:b/>
          <w:sz w:val="18"/>
        </w:rPr>
      </w:pPr>
      <w:r w:rsidRPr="007E2A70">
        <w:rPr>
          <w:rFonts w:ascii="Arial" w:hAnsi="Arial"/>
          <w:b/>
          <w:sz w:val="18"/>
        </w:rPr>
        <w:t>4</w:t>
      </w:r>
      <w:r w:rsidRPr="007E2A70">
        <w:rPr>
          <w:rFonts w:ascii="Arial" w:hAnsi="Arial"/>
          <w:b/>
          <w:sz w:val="18"/>
        </w:rPr>
        <w:tab/>
        <w:t>Nicht ersatzpflichtige Schäden</w:t>
      </w:r>
    </w:p>
    <w:p w14:paraId="170106EC" w14:textId="77777777" w:rsidR="00662132" w:rsidRDefault="000F3462" w:rsidP="00662132">
      <w:pPr>
        <w:spacing w:after="100"/>
        <w:ind w:left="709" w:hanging="709"/>
        <w:jc w:val="both"/>
        <w:rPr>
          <w:rFonts w:ascii="Arial" w:hAnsi="Arial"/>
          <w:sz w:val="18"/>
        </w:rPr>
      </w:pPr>
      <w:r w:rsidRPr="007E2A70">
        <w:rPr>
          <w:rFonts w:ascii="Arial" w:hAnsi="Arial"/>
          <w:sz w:val="18"/>
        </w:rPr>
        <w:tab/>
        <w:t>Der Versicherer leistet keinen Ersatz für Schäden verursacht durch Leimlösungen, Verkratzen, Ve</w:t>
      </w:r>
      <w:r w:rsidRPr="007E2A70">
        <w:rPr>
          <w:rFonts w:ascii="Arial" w:hAnsi="Arial"/>
          <w:sz w:val="18"/>
        </w:rPr>
        <w:t>r</w:t>
      </w:r>
      <w:r w:rsidRPr="007E2A70">
        <w:rPr>
          <w:rFonts w:ascii="Arial" w:hAnsi="Arial"/>
          <w:sz w:val="18"/>
        </w:rPr>
        <w:t>schrammen, Druckstellen, Rissig- und Blindwerden von Politur, Farb- Lack-, und Emaille-Absplitterungen, Rost, Oxydation, Fadenbruch bei Röhren und Beleuchtungskörpern, Nichtfunktioni</w:t>
      </w:r>
      <w:r w:rsidRPr="007E2A70">
        <w:rPr>
          <w:rFonts w:ascii="Arial" w:hAnsi="Arial"/>
          <w:sz w:val="18"/>
        </w:rPr>
        <w:t>e</w:t>
      </w:r>
      <w:r w:rsidRPr="007E2A70">
        <w:rPr>
          <w:rFonts w:ascii="Arial" w:hAnsi="Arial"/>
          <w:sz w:val="18"/>
        </w:rPr>
        <w:t>ren von Uhren, Radio-, Fernseh-, und sonstigen A</w:t>
      </w:r>
      <w:r w:rsidRPr="007E2A70">
        <w:rPr>
          <w:rFonts w:ascii="Arial" w:hAnsi="Arial"/>
          <w:sz w:val="18"/>
        </w:rPr>
        <w:t>p</w:t>
      </w:r>
      <w:r w:rsidRPr="007E2A70">
        <w:rPr>
          <w:rFonts w:ascii="Arial" w:hAnsi="Arial"/>
          <w:sz w:val="18"/>
        </w:rPr>
        <w:t>paraten, Geräten, Instrumenten und dgl., es sei denn, dass diese Schäden als unmittelbare Folge eines versicherten Ereignisses durch den Versich</w:t>
      </w:r>
      <w:r w:rsidRPr="007E2A70">
        <w:rPr>
          <w:rFonts w:ascii="Arial" w:hAnsi="Arial"/>
          <w:sz w:val="18"/>
        </w:rPr>
        <w:t>e</w:t>
      </w:r>
      <w:r w:rsidRPr="007E2A70">
        <w:rPr>
          <w:rFonts w:ascii="Arial" w:hAnsi="Arial"/>
          <w:sz w:val="18"/>
        </w:rPr>
        <w:t>rungsnehmer nachgewiesen we</w:t>
      </w:r>
      <w:r w:rsidRPr="007E2A70">
        <w:rPr>
          <w:rFonts w:ascii="Arial" w:hAnsi="Arial"/>
          <w:sz w:val="18"/>
        </w:rPr>
        <w:t>r</w:t>
      </w:r>
      <w:r w:rsidRPr="007E2A70">
        <w:rPr>
          <w:rFonts w:ascii="Arial" w:hAnsi="Arial"/>
          <w:sz w:val="18"/>
        </w:rPr>
        <w:t>den.</w:t>
      </w:r>
    </w:p>
    <w:p w14:paraId="1D7358B0" w14:textId="77777777" w:rsidR="00662132" w:rsidRDefault="000F3462" w:rsidP="00662132">
      <w:pPr>
        <w:keepNext/>
        <w:spacing w:after="100"/>
        <w:ind w:left="709" w:hanging="709"/>
        <w:jc w:val="both"/>
        <w:rPr>
          <w:rFonts w:ascii="Arial" w:hAnsi="Arial"/>
          <w:b/>
          <w:sz w:val="18"/>
        </w:rPr>
      </w:pPr>
      <w:r w:rsidRPr="007E2A70">
        <w:rPr>
          <w:rFonts w:ascii="Arial" w:hAnsi="Arial"/>
          <w:b/>
          <w:sz w:val="18"/>
        </w:rPr>
        <w:t>5</w:t>
      </w:r>
      <w:r w:rsidRPr="007E2A70">
        <w:rPr>
          <w:rFonts w:ascii="Arial" w:hAnsi="Arial"/>
          <w:b/>
          <w:sz w:val="18"/>
        </w:rPr>
        <w:tab/>
        <w:t>Dauer der Versicherung</w:t>
      </w:r>
    </w:p>
    <w:p w14:paraId="6D1E2051" w14:textId="77777777" w:rsidR="00662132" w:rsidRDefault="000F3462" w:rsidP="00662132">
      <w:pPr>
        <w:spacing w:after="100"/>
        <w:ind w:left="709" w:hanging="709"/>
        <w:jc w:val="both"/>
        <w:rPr>
          <w:rFonts w:ascii="Arial" w:hAnsi="Arial"/>
          <w:sz w:val="18"/>
        </w:rPr>
      </w:pPr>
      <w:r w:rsidRPr="007E2A70">
        <w:rPr>
          <w:rFonts w:ascii="Arial" w:hAnsi="Arial"/>
          <w:sz w:val="18"/>
        </w:rPr>
        <w:t>5.1</w:t>
      </w:r>
      <w:r w:rsidRPr="007E2A70">
        <w:rPr>
          <w:rFonts w:ascii="Arial" w:hAnsi="Arial"/>
          <w:sz w:val="18"/>
        </w:rPr>
        <w:tab/>
        <w:t>Die Versicherung beginnt mit der Übernahme des Umzugsguts durch den Möbelspediteur, insbesond</w:t>
      </w:r>
      <w:r w:rsidRPr="007E2A70">
        <w:rPr>
          <w:rFonts w:ascii="Arial" w:hAnsi="Arial"/>
          <w:sz w:val="18"/>
        </w:rPr>
        <w:t>e</w:t>
      </w:r>
      <w:r w:rsidRPr="007E2A70">
        <w:rPr>
          <w:rFonts w:ascii="Arial" w:hAnsi="Arial"/>
          <w:sz w:val="18"/>
        </w:rPr>
        <w:t xml:space="preserve">re mit dem Abmontieren, Auseinandernehmen und Einpacken des Umzugsguts und </w:t>
      </w:r>
    </w:p>
    <w:p w14:paraId="37CAAF19" w14:textId="77777777" w:rsidR="00662132" w:rsidRDefault="000F3462" w:rsidP="00662132">
      <w:pPr>
        <w:spacing w:after="100"/>
        <w:ind w:left="709" w:hanging="709"/>
        <w:jc w:val="both"/>
        <w:rPr>
          <w:rFonts w:ascii="Arial" w:hAnsi="Arial"/>
          <w:sz w:val="18"/>
        </w:rPr>
      </w:pPr>
      <w:r w:rsidRPr="007E2A70">
        <w:rPr>
          <w:rFonts w:ascii="Arial" w:hAnsi="Arial"/>
          <w:sz w:val="18"/>
        </w:rPr>
        <w:t>5.2</w:t>
      </w:r>
      <w:r w:rsidRPr="007E2A70">
        <w:rPr>
          <w:rFonts w:ascii="Arial" w:hAnsi="Arial"/>
          <w:sz w:val="18"/>
        </w:rPr>
        <w:tab/>
        <w:t>endet, sobald das Auspacken, Zusammense</w:t>
      </w:r>
      <w:r w:rsidRPr="007E2A70">
        <w:rPr>
          <w:rFonts w:ascii="Arial" w:hAnsi="Arial"/>
          <w:sz w:val="18"/>
        </w:rPr>
        <w:t>t</w:t>
      </w:r>
      <w:r w:rsidRPr="007E2A70">
        <w:rPr>
          <w:rFonts w:ascii="Arial" w:hAnsi="Arial"/>
          <w:sz w:val="18"/>
        </w:rPr>
        <w:t>zen, Anbringen und Aufstellen des Umzugsguts durch den Möbe</w:t>
      </w:r>
      <w:r w:rsidRPr="007E2A70">
        <w:rPr>
          <w:rFonts w:ascii="Arial" w:hAnsi="Arial"/>
          <w:sz w:val="18"/>
        </w:rPr>
        <w:t>l</w:t>
      </w:r>
      <w:r w:rsidRPr="007E2A70">
        <w:rPr>
          <w:rFonts w:ascii="Arial" w:hAnsi="Arial"/>
          <w:sz w:val="18"/>
        </w:rPr>
        <w:t>spediteur beendet ist.</w:t>
      </w:r>
    </w:p>
    <w:p w14:paraId="75AC2CAB" w14:textId="77777777" w:rsidR="00662132" w:rsidRDefault="000F3462" w:rsidP="00662132">
      <w:pPr>
        <w:spacing w:after="100"/>
        <w:ind w:left="709" w:hanging="709"/>
        <w:jc w:val="both"/>
        <w:rPr>
          <w:rFonts w:ascii="Arial" w:hAnsi="Arial"/>
          <w:sz w:val="18"/>
        </w:rPr>
      </w:pPr>
      <w:r w:rsidRPr="007E2A70">
        <w:rPr>
          <w:rFonts w:ascii="Arial" w:hAnsi="Arial"/>
          <w:sz w:val="18"/>
        </w:rPr>
        <w:t>5.3</w:t>
      </w:r>
      <w:r w:rsidRPr="007E2A70">
        <w:rPr>
          <w:rFonts w:ascii="Arial" w:hAnsi="Arial"/>
          <w:sz w:val="18"/>
        </w:rPr>
        <w:tab/>
        <w:t xml:space="preserve">Mitversichert sind </w:t>
      </w:r>
      <w:proofErr w:type="gramStart"/>
      <w:r w:rsidRPr="007E2A70">
        <w:rPr>
          <w:rFonts w:ascii="Arial" w:hAnsi="Arial"/>
          <w:sz w:val="18"/>
        </w:rPr>
        <w:t>nur transportbedingte Zwischenl</w:t>
      </w:r>
      <w:r w:rsidRPr="007E2A70">
        <w:rPr>
          <w:rFonts w:ascii="Arial" w:hAnsi="Arial"/>
          <w:sz w:val="18"/>
        </w:rPr>
        <w:t>a</w:t>
      </w:r>
      <w:r w:rsidRPr="007E2A70">
        <w:rPr>
          <w:rFonts w:ascii="Arial" w:hAnsi="Arial"/>
          <w:sz w:val="18"/>
        </w:rPr>
        <w:t>gerungen</w:t>
      </w:r>
      <w:proofErr w:type="gramEnd"/>
      <w:r w:rsidRPr="007E2A70">
        <w:rPr>
          <w:rFonts w:ascii="Arial" w:hAnsi="Arial"/>
          <w:sz w:val="18"/>
        </w:rPr>
        <w:t xml:space="preserve"> und zwar bis zu der im Versicherungsve</w:t>
      </w:r>
      <w:r w:rsidRPr="007E2A70">
        <w:rPr>
          <w:rFonts w:ascii="Arial" w:hAnsi="Arial"/>
          <w:sz w:val="18"/>
        </w:rPr>
        <w:t>r</w:t>
      </w:r>
      <w:r w:rsidRPr="007E2A70">
        <w:rPr>
          <w:rFonts w:ascii="Arial" w:hAnsi="Arial"/>
          <w:sz w:val="18"/>
        </w:rPr>
        <w:t>trag vereinbarten Da</w:t>
      </w:r>
      <w:r w:rsidRPr="007E2A70">
        <w:rPr>
          <w:rFonts w:ascii="Arial" w:hAnsi="Arial"/>
          <w:sz w:val="18"/>
        </w:rPr>
        <w:t>u</w:t>
      </w:r>
      <w:r w:rsidRPr="007E2A70">
        <w:rPr>
          <w:rFonts w:ascii="Arial" w:hAnsi="Arial"/>
          <w:sz w:val="18"/>
        </w:rPr>
        <w:t>er.</w:t>
      </w:r>
    </w:p>
    <w:p w14:paraId="693A8D1C" w14:textId="77777777" w:rsidR="00662132" w:rsidRDefault="000F3462" w:rsidP="00662132">
      <w:pPr>
        <w:keepNext/>
        <w:spacing w:after="100"/>
        <w:ind w:left="709" w:hanging="709"/>
        <w:jc w:val="both"/>
        <w:rPr>
          <w:rFonts w:ascii="Arial" w:hAnsi="Arial"/>
          <w:b/>
          <w:sz w:val="18"/>
        </w:rPr>
      </w:pPr>
      <w:r w:rsidRPr="007E2A70">
        <w:rPr>
          <w:rFonts w:ascii="Arial" w:hAnsi="Arial"/>
          <w:b/>
          <w:sz w:val="18"/>
        </w:rPr>
        <w:t>6</w:t>
      </w:r>
      <w:r w:rsidRPr="007E2A70">
        <w:rPr>
          <w:rFonts w:ascii="Arial" w:hAnsi="Arial"/>
          <w:b/>
          <w:sz w:val="18"/>
        </w:rPr>
        <w:tab/>
        <w:t>Versicherungswert</w:t>
      </w:r>
    </w:p>
    <w:p w14:paraId="06446815" w14:textId="77777777" w:rsidR="00662132" w:rsidRDefault="000F3462" w:rsidP="00662132">
      <w:pPr>
        <w:spacing w:after="100"/>
        <w:ind w:left="709" w:hanging="709"/>
        <w:jc w:val="both"/>
        <w:rPr>
          <w:rFonts w:ascii="Arial" w:hAnsi="Arial"/>
          <w:sz w:val="18"/>
        </w:rPr>
      </w:pPr>
      <w:r w:rsidRPr="007E2A70">
        <w:rPr>
          <w:rFonts w:ascii="Arial" w:hAnsi="Arial"/>
          <w:sz w:val="18"/>
        </w:rPr>
        <w:t>6.1</w:t>
      </w:r>
      <w:r w:rsidRPr="007E2A70">
        <w:rPr>
          <w:rFonts w:ascii="Arial" w:hAnsi="Arial"/>
          <w:sz w:val="18"/>
        </w:rPr>
        <w:tab/>
        <w:t>Soweit nichts anderes vereinbart, ist Versich</w:t>
      </w:r>
      <w:r w:rsidRPr="007E2A70">
        <w:rPr>
          <w:rFonts w:ascii="Arial" w:hAnsi="Arial"/>
          <w:sz w:val="18"/>
        </w:rPr>
        <w:t>e</w:t>
      </w:r>
      <w:r w:rsidRPr="007E2A70">
        <w:rPr>
          <w:rFonts w:ascii="Arial" w:hAnsi="Arial"/>
          <w:sz w:val="18"/>
        </w:rPr>
        <w:t>rungswert der Zeitwert. Zeitwert ist der Neuwert mit einem angemessenen Abzug für Alter und Nu</w:t>
      </w:r>
      <w:r w:rsidRPr="007E2A70">
        <w:rPr>
          <w:rFonts w:ascii="Arial" w:hAnsi="Arial"/>
          <w:sz w:val="18"/>
        </w:rPr>
        <w:t>t</w:t>
      </w:r>
      <w:r w:rsidRPr="007E2A70">
        <w:rPr>
          <w:rFonts w:ascii="Arial" w:hAnsi="Arial"/>
          <w:sz w:val="18"/>
        </w:rPr>
        <w:t>zung. Ein persönlicher Liebhaberwert ist nicht versiche</w:t>
      </w:r>
      <w:r w:rsidRPr="007E2A70">
        <w:rPr>
          <w:rFonts w:ascii="Arial" w:hAnsi="Arial"/>
          <w:sz w:val="18"/>
        </w:rPr>
        <w:t>r</w:t>
      </w:r>
      <w:r w:rsidRPr="007E2A70">
        <w:rPr>
          <w:rFonts w:ascii="Arial" w:hAnsi="Arial"/>
          <w:sz w:val="18"/>
        </w:rPr>
        <w:t>bar.</w:t>
      </w:r>
    </w:p>
    <w:p w14:paraId="0959993E" w14:textId="77777777" w:rsidR="00662132" w:rsidRDefault="000F3462" w:rsidP="00662132">
      <w:pPr>
        <w:spacing w:after="100"/>
        <w:ind w:left="709" w:hanging="709"/>
        <w:jc w:val="both"/>
        <w:rPr>
          <w:rFonts w:ascii="Arial" w:hAnsi="Arial"/>
          <w:sz w:val="18"/>
        </w:rPr>
      </w:pPr>
      <w:r w:rsidRPr="007E2A70">
        <w:rPr>
          <w:rFonts w:ascii="Arial" w:hAnsi="Arial"/>
          <w:sz w:val="18"/>
        </w:rPr>
        <w:t>6.2</w:t>
      </w:r>
      <w:r w:rsidRPr="007E2A70">
        <w:rPr>
          <w:rFonts w:ascii="Arial" w:hAnsi="Arial"/>
          <w:sz w:val="18"/>
        </w:rPr>
        <w:tab/>
        <w:t>Für Kunstgegenstände wie Gemälde, Skulpturen und dgl., echte Teppiche und Pelze, Silbersachen, antikes Porzellan und sonstige hochwertige Gege</w:t>
      </w:r>
      <w:r w:rsidRPr="007E2A70">
        <w:rPr>
          <w:rFonts w:ascii="Arial" w:hAnsi="Arial"/>
          <w:sz w:val="18"/>
        </w:rPr>
        <w:t>n</w:t>
      </w:r>
      <w:r w:rsidRPr="007E2A70">
        <w:rPr>
          <w:rFonts w:ascii="Arial" w:hAnsi="Arial"/>
          <w:sz w:val="18"/>
        </w:rPr>
        <w:t>stände gilt als Versicherungswert die gesondert ve</w:t>
      </w:r>
      <w:r w:rsidRPr="007E2A70">
        <w:rPr>
          <w:rFonts w:ascii="Arial" w:hAnsi="Arial"/>
          <w:sz w:val="18"/>
        </w:rPr>
        <w:t>r</w:t>
      </w:r>
      <w:r w:rsidRPr="007E2A70">
        <w:rPr>
          <w:rFonts w:ascii="Arial" w:hAnsi="Arial"/>
          <w:sz w:val="18"/>
        </w:rPr>
        <w:t>einbarte Versich</w:t>
      </w:r>
      <w:r w:rsidRPr="007E2A70">
        <w:rPr>
          <w:rFonts w:ascii="Arial" w:hAnsi="Arial"/>
          <w:sz w:val="18"/>
        </w:rPr>
        <w:t>e</w:t>
      </w:r>
      <w:r w:rsidRPr="007E2A70">
        <w:rPr>
          <w:rFonts w:ascii="Arial" w:hAnsi="Arial"/>
          <w:sz w:val="18"/>
        </w:rPr>
        <w:t>rungssumme.</w:t>
      </w:r>
    </w:p>
    <w:p w14:paraId="4D58880F" w14:textId="77777777" w:rsidR="00662132" w:rsidRDefault="000F3462" w:rsidP="00662132">
      <w:pPr>
        <w:keepNext/>
        <w:spacing w:after="100"/>
        <w:ind w:left="709" w:hanging="709"/>
        <w:jc w:val="both"/>
        <w:rPr>
          <w:rFonts w:ascii="Arial" w:hAnsi="Arial"/>
          <w:b/>
          <w:sz w:val="18"/>
        </w:rPr>
      </w:pPr>
      <w:r w:rsidRPr="007E2A70">
        <w:rPr>
          <w:rFonts w:ascii="Arial" w:hAnsi="Arial"/>
          <w:b/>
          <w:sz w:val="18"/>
        </w:rPr>
        <w:t>7</w:t>
      </w:r>
      <w:r w:rsidRPr="007E2A70">
        <w:rPr>
          <w:rFonts w:ascii="Arial" w:hAnsi="Arial"/>
          <w:b/>
          <w:sz w:val="18"/>
        </w:rPr>
        <w:tab/>
        <w:t>Ersatzleistung</w:t>
      </w:r>
    </w:p>
    <w:p w14:paraId="58688B8D" w14:textId="77777777" w:rsidR="00662132" w:rsidRDefault="000F3462" w:rsidP="00662132">
      <w:pPr>
        <w:keepNext/>
        <w:spacing w:after="100"/>
        <w:ind w:left="709" w:hanging="709"/>
        <w:jc w:val="both"/>
        <w:rPr>
          <w:rFonts w:ascii="Arial" w:hAnsi="Arial"/>
          <w:sz w:val="18"/>
        </w:rPr>
      </w:pPr>
      <w:r w:rsidRPr="007E2A70">
        <w:rPr>
          <w:rFonts w:ascii="Arial" w:hAnsi="Arial"/>
          <w:sz w:val="18"/>
        </w:rPr>
        <w:tab/>
        <w:t>Der Versicherer ersetzt</w:t>
      </w:r>
    </w:p>
    <w:p w14:paraId="3DBE93D6" w14:textId="77777777" w:rsidR="00662132" w:rsidRDefault="000F3462" w:rsidP="00662132">
      <w:pPr>
        <w:spacing w:after="100"/>
        <w:ind w:left="709" w:hanging="709"/>
        <w:jc w:val="both"/>
        <w:rPr>
          <w:rFonts w:ascii="Arial" w:hAnsi="Arial"/>
          <w:sz w:val="18"/>
        </w:rPr>
      </w:pPr>
      <w:r w:rsidRPr="007E2A70">
        <w:rPr>
          <w:rFonts w:ascii="Arial" w:hAnsi="Arial"/>
          <w:sz w:val="18"/>
        </w:rPr>
        <w:t>7.1</w:t>
      </w:r>
      <w:r w:rsidRPr="007E2A70">
        <w:rPr>
          <w:rFonts w:ascii="Arial" w:hAnsi="Arial"/>
          <w:sz w:val="18"/>
        </w:rPr>
        <w:tab/>
        <w:t xml:space="preserve">im Falle des Verlustes den Versicherungswert des </w:t>
      </w:r>
      <w:r w:rsidRPr="007E2A70">
        <w:rPr>
          <w:rFonts w:ascii="Arial" w:hAnsi="Arial"/>
          <w:sz w:val="18"/>
        </w:rPr>
        <w:lastRenderedPageBreak/>
        <w:t>betreffenden Teiles des versicherten Umzugsg</w:t>
      </w:r>
      <w:r w:rsidRPr="007E2A70">
        <w:rPr>
          <w:rFonts w:ascii="Arial" w:hAnsi="Arial"/>
          <w:sz w:val="18"/>
        </w:rPr>
        <w:t>u</w:t>
      </w:r>
      <w:r w:rsidRPr="007E2A70">
        <w:rPr>
          <w:rFonts w:ascii="Arial" w:hAnsi="Arial"/>
          <w:sz w:val="18"/>
        </w:rPr>
        <w:t>tes;</w:t>
      </w:r>
    </w:p>
    <w:p w14:paraId="533A5CFF" w14:textId="77777777" w:rsidR="00662132" w:rsidRDefault="000F3462" w:rsidP="00662132">
      <w:pPr>
        <w:spacing w:after="100"/>
        <w:ind w:left="709" w:hanging="709"/>
        <w:jc w:val="both"/>
        <w:rPr>
          <w:rFonts w:ascii="Arial" w:hAnsi="Arial"/>
          <w:sz w:val="18"/>
        </w:rPr>
      </w:pPr>
      <w:r w:rsidRPr="007E2A70">
        <w:rPr>
          <w:rFonts w:ascii="Arial" w:hAnsi="Arial"/>
          <w:sz w:val="18"/>
        </w:rPr>
        <w:t>7.2</w:t>
      </w:r>
      <w:r w:rsidRPr="007E2A70">
        <w:rPr>
          <w:rFonts w:ascii="Arial" w:hAnsi="Arial"/>
          <w:sz w:val="18"/>
        </w:rPr>
        <w:tab/>
        <w:t>bei beschädigten Sachen die notwendigen Repar</w:t>
      </w:r>
      <w:r w:rsidRPr="007E2A70">
        <w:rPr>
          <w:rFonts w:ascii="Arial" w:hAnsi="Arial"/>
          <w:sz w:val="18"/>
        </w:rPr>
        <w:t>a</w:t>
      </w:r>
      <w:r w:rsidRPr="007E2A70">
        <w:rPr>
          <w:rFonts w:ascii="Arial" w:hAnsi="Arial"/>
          <w:sz w:val="18"/>
        </w:rPr>
        <w:t>turkosten zum Zeitpunkt des Versicherungsfalles, zuzüglich einer etwa verbleibenden Wertmind</w:t>
      </w:r>
      <w:r w:rsidRPr="007E2A70">
        <w:rPr>
          <w:rFonts w:ascii="Arial" w:hAnsi="Arial"/>
          <w:sz w:val="18"/>
        </w:rPr>
        <w:t>e</w:t>
      </w:r>
      <w:r w:rsidRPr="007E2A70">
        <w:rPr>
          <w:rFonts w:ascii="Arial" w:hAnsi="Arial"/>
          <w:sz w:val="18"/>
        </w:rPr>
        <w:t>rung, höchstens jedoch den Versicherungswert. Restwerte werden angerec</w:t>
      </w:r>
      <w:r w:rsidRPr="007E2A70">
        <w:rPr>
          <w:rFonts w:ascii="Arial" w:hAnsi="Arial"/>
          <w:sz w:val="18"/>
        </w:rPr>
        <w:t>h</w:t>
      </w:r>
      <w:r w:rsidRPr="007E2A70">
        <w:rPr>
          <w:rFonts w:ascii="Arial" w:hAnsi="Arial"/>
          <w:sz w:val="18"/>
        </w:rPr>
        <w:t>net.</w:t>
      </w:r>
    </w:p>
    <w:p w14:paraId="010E7DD4" w14:textId="77777777" w:rsidR="00E24340" w:rsidRPr="00EA4239" w:rsidRDefault="000F3462" w:rsidP="00EA4239">
      <w:pPr>
        <w:spacing w:after="100"/>
        <w:ind w:left="709" w:hanging="709"/>
        <w:jc w:val="both"/>
        <w:rPr>
          <w:rFonts w:ascii="Arial" w:hAnsi="Arial"/>
          <w:b/>
          <w:bCs/>
          <w:sz w:val="18"/>
        </w:rPr>
      </w:pPr>
      <w:r w:rsidRPr="007E2A70">
        <w:rPr>
          <w:rFonts w:ascii="Arial" w:hAnsi="Arial"/>
          <w:sz w:val="18"/>
        </w:rPr>
        <w:t>7.3</w:t>
      </w:r>
      <w:r w:rsidRPr="007E2A70">
        <w:rPr>
          <w:rFonts w:ascii="Arial" w:hAnsi="Arial"/>
          <w:sz w:val="18"/>
        </w:rPr>
        <w:tab/>
        <w:t>Nicht ersetzt werden Kosten zur Wiederbescha</w:t>
      </w:r>
      <w:r w:rsidRPr="007E2A70">
        <w:rPr>
          <w:rFonts w:ascii="Arial" w:hAnsi="Arial"/>
          <w:sz w:val="18"/>
        </w:rPr>
        <w:t>f</w:t>
      </w:r>
      <w:r w:rsidRPr="007E2A70">
        <w:rPr>
          <w:rFonts w:ascii="Arial" w:hAnsi="Arial"/>
          <w:sz w:val="18"/>
        </w:rPr>
        <w:t>fung verlorener oder beschädigter Daten auf Datentr</w:t>
      </w:r>
      <w:r w:rsidRPr="007E2A70">
        <w:rPr>
          <w:rFonts w:ascii="Arial" w:hAnsi="Arial"/>
          <w:sz w:val="18"/>
        </w:rPr>
        <w:t>ä</w:t>
      </w:r>
      <w:r w:rsidRPr="007E2A70">
        <w:rPr>
          <w:rFonts w:ascii="Arial" w:hAnsi="Arial"/>
          <w:sz w:val="18"/>
        </w:rPr>
        <w:t>gern.</w:t>
      </w:r>
    </w:p>
    <w:p w14:paraId="23FDE3AB" w14:textId="77777777" w:rsidR="008800EB" w:rsidRPr="00B42841" w:rsidRDefault="008800EB" w:rsidP="008800EB">
      <w:pPr>
        <w:spacing w:after="100"/>
        <w:ind w:left="709" w:hanging="709"/>
        <w:jc w:val="both"/>
        <w:rPr>
          <w:rFonts w:ascii="Arial" w:hAnsi="Arial"/>
          <w:sz w:val="18"/>
        </w:rPr>
      </w:pPr>
      <w:r w:rsidRPr="00B42841">
        <w:rPr>
          <w:rFonts w:ascii="Arial" w:hAnsi="Arial"/>
          <w:sz w:val="18"/>
        </w:rPr>
        <w:t>8</w:t>
      </w:r>
      <w:r w:rsidRPr="00B42841">
        <w:rPr>
          <w:rFonts w:ascii="Arial" w:hAnsi="Arial"/>
          <w:sz w:val="18"/>
        </w:rPr>
        <w:tab/>
      </w:r>
      <w:r w:rsidRPr="0038685A">
        <w:rPr>
          <w:rFonts w:ascii="Arial" w:hAnsi="Arial"/>
          <w:b/>
          <w:bCs/>
          <w:sz w:val="18"/>
        </w:rPr>
        <w:t>Meinungsverschiedenheiten</w:t>
      </w:r>
    </w:p>
    <w:p w14:paraId="5E13CCB2" w14:textId="77777777" w:rsidR="00B42841" w:rsidRPr="00B42841" w:rsidRDefault="00B42841" w:rsidP="00B42841">
      <w:pPr>
        <w:spacing w:after="100"/>
        <w:ind w:left="709" w:hanging="709"/>
        <w:jc w:val="both"/>
        <w:rPr>
          <w:rFonts w:ascii="Arial" w:hAnsi="Arial"/>
          <w:sz w:val="18"/>
        </w:rPr>
      </w:pPr>
      <w:r w:rsidRPr="00B42841">
        <w:rPr>
          <w:rFonts w:ascii="Arial" w:hAnsi="Arial"/>
          <w:sz w:val="18"/>
        </w:rPr>
        <w:t xml:space="preserve">8.1 </w:t>
      </w:r>
      <w:r>
        <w:rPr>
          <w:rFonts w:ascii="Arial" w:hAnsi="Arial"/>
          <w:sz w:val="18"/>
        </w:rPr>
        <w:tab/>
      </w:r>
      <w:r w:rsidRPr="00B42841">
        <w:rPr>
          <w:rFonts w:ascii="Arial" w:hAnsi="Arial"/>
          <w:sz w:val="18"/>
        </w:rPr>
        <w:t xml:space="preserve">Besteht Unzufriedenheit mit einer Entscheidung des Versicherers oder hat eine Verhandlung mit dem Versicherer nicht zu dem gewünschten Ergebnis geführt, stehen insbesondere die nachfolgenden Beschwerdemöglichkeiten offen. </w:t>
      </w:r>
    </w:p>
    <w:p w14:paraId="38A0A923" w14:textId="77777777" w:rsidR="00B42841" w:rsidRPr="00B42841" w:rsidRDefault="00B42841" w:rsidP="00B42841">
      <w:pPr>
        <w:spacing w:after="100"/>
        <w:ind w:left="709" w:hanging="709"/>
        <w:jc w:val="both"/>
        <w:rPr>
          <w:rFonts w:ascii="Arial" w:hAnsi="Arial"/>
          <w:sz w:val="18"/>
        </w:rPr>
      </w:pPr>
      <w:r>
        <w:rPr>
          <w:rFonts w:ascii="Arial" w:hAnsi="Arial"/>
          <w:sz w:val="18"/>
        </w:rPr>
        <w:t>8.</w:t>
      </w:r>
      <w:r w:rsidR="009D6FE6">
        <w:rPr>
          <w:rFonts w:ascii="Arial" w:hAnsi="Arial"/>
          <w:sz w:val="18"/>
        </w:rPr>
        <w:t>1.</w:t>
      </w:r>
      <w:r w:rsidR="00770849">
        <w:rPr>
          <w:rFonts w:ascii="Arial" w:hAnsi="Arial"/>
          <w:sz w:val="18"/>
        </w:rPr>
        <w:t>1</w:t>
      </w:r>
      <w:r w:rsidRPr="00B42841">
        <w:rPr>
          <w:rFonts w:ascii="Arial" w:hAnsi="Arial"/>
          <w:sz w:val="18"/>
        </w:rPr>
        <w:t xml:space="preserve"> </w:t>
      </w:r>
      <w:r>
        <w:rPr>
          <w:rFonts w:ascii="Arial" w:hAnsi="Arial"/>
          <w:sz w:val="18"/>
        </w:rPr>
        <w:tab/>
      </w:r>
      <w:r w:rsidRPr="00B42841">
        <w:rPr>
          <w:rFonts w:ascii="Arial" w:hAnsi="Arial"/>
          <w:sz w:val="18"/>
        </w:rPr>
        <w:t xml:space="preserve">Versicherungsombudsmann </w:t>
      </w:r>
    </w:p>
    <w:p w14:paraId="0685650E" w14:textId="77777777" w:rsidR="00B42841" w:rsidRPr="00B42841" w:rsidRDefault="00B42841" w:rsidP="007B280C">
      <w:pPr>
        <w:spacing w:after="100"/>
        <w:ind w:left="709"/>
        <w:jc w:val="both"/>
        <w:rPr>
          <w:rFonts w:ascii="Arial" w:hAnsi="Arial"/>
          <w:sz w:val="18"/>
        </w:rPr>
      </w:pPr>
      <w:r w:rsidRPr="00B42841">
        <w:rPr>
          <w:rFonts w:ascii="Arial" w:hAnsi="Arial"/>
          <w:sz w:val="18"/>
        </w:rPr>
        <w:t>Ein Verbraucher, der mit einer Entscheidung des Versicherers nicht zufrieden ist, kann sich an den Ombudsmann für Versicherungen wenden. Dieser ist derzeit wie folgt erreichbar:</w:t>
      </w:r>
    </w:p>
    <w:p w14:paraId="46828C8C" w14:textId="77777777" w:rsidR="00B42841" w:rsidRPr="00B42841" w:rsidRDefault="00B42841" w:rsidP="0038685A">
      <w:pPr>
        <w:spacing w:after="100"/>
        <w:ind w:left="709"/>
        <w:jc w:val="center"/>
        <w:rPr>
          <w:rFonts w:ascii="Arial" w:hAnsi="Arial"/>
          <w:sz w:val="18"/>
        </w:rPr>
      </w:pPr>
      <w:r w:rsidRPr="00B42841">
        <w:rPr>
          <w:rFonts w:ascii="Arial" w:hAnsi="Arial"/>
          <w:sz w:val="18"/>
        </w:rPr>
        <w:t>Versicherungsombudsmann e.V.</w:t>
      </w:r>
      <w:r w:rsidR="0038685A">
        <w:rPr>
          <w:rFonts w:ascii="Arial" w:hAnsi="Arial"/>
          <w:sz w:val="18"/>
        </w:rPr>
        <w:br/>
      </w:r>
      <w:r w:rsidRPr="00B42841">
        <w:rPr>
          <w:rFonts w:ascii="Arial" w:hAnsi="Arial"/>
          <w:sz w:val="18"/>
        </w:rPr>
        <w:t>Postfach 080632</w:t>
      </w:r>
      <w:r w:rsidR="0038685A">
        <w:rPr>
          <w:rFonts w:ascii="Arial" w:hAnsi="Arial"/>
          <w:sz w:val="18"/>
        </w:rPr>
        <w:br/>
      </w:r>
      <w:r w:rsidRPr="00B42841">
        <w:rPr>
          <w:rFonts w:ascii="Arial" w:hAnsi="Arial"/>
          <w:sz w:val="18"/>
        </w:rPr>
        <w:t>10006 Berlin</w:t>
      </w:r>
      <w:r w:rsidR="0038685A">
        <w:rPr>
          <w:rFonts w:ascii="Arial" w:hAnsi="Arial"/>
          <w:sz w:val="18"/>
        </w:rPr>
        <w:br/>
      </w:r>
      <w:r w:rsidRPr="00B42841">
        <w:rPr>
          <w:rFonts w:ascii="Arial" w:hAnsi="Arial"/>
          <w:sz w:val="18"/>
        </w:rPr>
        <w:t>E-Mail: beschwerde@versicherungsombudsmann.de</w:t>
      </w:r>
      <w:r w:rsidR="0038685A">
        <w:rPr>
          <w:rFonts w:ascii="Arial" w:hAnsi="Arial"/>
          <w:sz w:val="18"/>
        </w:rPr>
        <w:br/>
      </w:r>
      <w:r w:rsidRPr="00B42841">
        <w:rPr>
          <w:rFonts w:ascii="Arial" w:hAnsi="Arial"/>
          <w:sz w:val="18"/>
        </w:rPr>
        <w:t xml:space="preserve">Internet: </w:t>
      </w:r>
      <w:r w:rsidR="00F129BC" w:rsidRPr="00F129BC">
        <w:rPr>
          <w:rFonts w:ascii="Arial" w:hAnsi="Arial"/>
          <w:sz w:val="18"/>
        </w:rPr>
        <w:t>www.versicherungsombudsmann.de</w:t>
      </w:r>
      <w:r w:rsidR="00F129BC">
        <w:rPr>
          <w:rFonts w:ascii="Arial" w:hAnsi="Arial"/>
          <w:sz w:val="18"/>
        </w:rPr>
        <w:br/>
      </w:r>
      <w:r w:rsidR="00F129BC" w:rsidRPr="00F129BC">
        <w:rPr>
          <w:rFonts w:ascii="Arial" w:hAnsi="Arial"/>
          <w:sz w:val="18"/>
        </w:rPr>
        <w:t>Telefon: 0800 369 6000</w:t>
      </w:r>
      <w:r w:rsidR="00B419B2">
        <w:rPr>
          <w:rFonts w:ascii="Arial" w:hAnsi="Arial"/>
          <w:sz w:val="18"/>
        </w:rPr>
        <w:br/>
      </w:r>
      <w:r w:rsidR="00F129BC" w:rsidRPr="00F129BC">
        <w:rPr>
          <w:rFonts w:ascii="Arial" w:hAnsi="Arial"/>
          <w:sz w:val="18"/>
        </w:rPr>
        <w:t>Fax: 0800 369 9000</w:t>
      </w:r>
    </w:p>
    <w:p w14:paraId="1956B51F" w14:textId="77777777" w:rsidR="00B42841" w:rsidRPr="00B42841" w:rsidRDefault="00B42841" w:rsidP="0038685A">
      <w:pPr>
        <w:spacing w:after="100"/>
        <w:ind w:left="709"/>
        <w:jc w:val="both"/>
        <w:rPr>
          <w:rFonts w:ascii="Arial" w:hAnsi="Arial"/>
          <w:sz w:val="18"/>
        </w:rPr>
      </w:pPr>
      <w:r w:rsidRPr="00B42841">
        <w:rPr>
          <w:rFonts w:ascii="Arial" w:hAnsi="Arial"/>
          <w:sz w:val="18"/>
        </w:rPr>
        <w:t xml:space="preserve">Der Ombudsmann für Versicherungen ist eine unabhängige und für Verbraucher kostenfrei arbeitende Schlichtungsstelle. Der Versicherer hat sich verpflichtet, an dem Schlichtungsverfahren teilzunehmen. </w:t>
      </w:r>
    </w:p>
    <w:p w14:paraId="2E6F2D12" w14:textId="77777777" w:rsidR="00B42841" w:rsidRPr="00B42841" w:rsidRDefault="0038685A" w:rsidP="00B42841">
      <w:pPr>
        <w:spacing w:after="100"/>
        <w:ind w:left="709" w:hanging="709"/>
        <w:rPr>
          <w:rFonts w:ascii="Arial" w:hAnsi="Arial"/>
          <w:sz w:val="18"/>
        </w:rPr>
      </w:pPr>
      <w:r>
        <w:rPr>
          <w:rFonts w:ascii="Arial" w:hAnsi="Arial"/>
          <w:sz w:val="18"/>
        </w:rPr>
        <w:t>8.</w:t>
      </w:r>
      <w:r w:rsidR="009D6FE6">
        <w:rPr>
          <w:rFonts w:ascii="Arial" w:hAnsi="Arial"/>
          <w:sz w:val="18"/>
        </w:rPr>
        <w:t>1.2</w:t>
      </w:r>
      <w:r>
        <w:rPr>
          <w:rFonts w:ascii="Arial" w:hAnsi="Arial"/>
          <w:sz w:val="18"/>
        </w:rPr>
        <w:tab/>
      </w:r>
      <w:r w:rsidR="00B42841" w:rsidRPr="00B42841">
        <w:rPr>
          <w:rFonts w:ascii="Arial" w:hAnsi="Arial"/>
          <w:sz w:val="18"/>
        </w:rPr>
        <w:t>Versicherungsaufsicht</w:t>
      </w:r>
    </w:p>
    <w:p w14:paraId="7A20D7F6" w14:textId="77777777" w:rsidR="0038685A" w:rsidRDefault="00B42841" w:rsidP="0038685A">
      <w:pPr>
        <w:spacing w:after="100"/>
        <w:ind w:left="709"/>
        <w:jc w:val="both"/>
        <w:rPr>
          <w:rFonts w:ascii="Arial" w:hAnsi="Arial"/>
          <w:sz w:val="18"/>
        </w:rPr>
      </w:pPr>
      <w:r w:rsidRPr="00B42841">
        <w:rPr>
          <w:rFonts w:ascii="Arial" w:hAnsi="Arial"/>
          <w:sz w:val="18"/>
        </w:rPr>
        <w:t>Bei Unzufriedenheit mit der Betreuung durch den Versicherer oder bei Meinungsverschiedenheiten bei der Vertragsabwicklung kann sich der Versicherungsnehmer auch an die zuständige Aufsicht wenden. Als Versicherungsunternehmen unterliegt der Versicherer der Aufsicht der Bundesanstalt für Finanzdienstleistungsaufsicht. Die derzeitigen Kontaktdaten sind:</w:t>
      </w:r>
    </w:p>
    <w:p w14:paraId="590A030F" w14:textId="77777777" w:rsidR="00B42841" w:rsidRPr="00B42841" w:rsidRDefault="00B42841" w:rsidP="0038685A">
      <w:pPr>
        <w:spacing w:after="100"/>
        <w:ind w:left="709"/>
        <w:jc w:val="center"/>
        <w:rPr>
          <w:rFonts w:ascii="Arial" w:hAnsi="Arial"/>
          <w:sz w:val="18"/>
        </w:rPr>
      </w:pPr>
      <w:r w:rsidRPr="00B42841">
        <w:rPr>
          <w:rFonts w:ascii="Arial" w:hAnsi="Arial"/>
          <w:sz w:val="18"/>
        </w:rPr>
        <w:t>Bundesanstalt für Finanzdienstleistungsaufsicht (BaFin)</w:t>
      </w:r>
      <w:r w:rsidR="0038685A">
        <w:rPr>
          <w:rFonts w:ascii="Arial" w:hAnsi="Arial"/>
          <w:sz w:val="18"/>
        </w:rPr>
        <w:br/>
      </w:r>
      <w:r w:rsidRPr="00B42841">
        <w:rPr>
          <w:rFonts w:ascii="Arial" w:hAnsi="Arial"/>
          <w:sz w:val="18"/>
        </w:rPr>
        <w:t>Sektor Versicherungsaufsicht</w:t>
      </w:r>
      <w:r w:rsidR="0038685A">
        <w:rPr>
          <w:rFonts w:ascii="Arial" w:hAnsi="Arial"/>
          <w:sz w:val="18"/>
        </w:rPr>
        <w:br/>
      </w:r>
      <w:r w:rsidRPr="00B42841">
        <w:rPr>
          <w:rFonts w:ascii="Arial" w:hAnsi="Arial"/>
          <w:sz w:val="18"/>
        </w:rPr>
        <w:t>Graurheindorfer Straße 108</w:t>
      </w:r>
      <w:r w:rsidR="0038685A">
        <w:rPr>
          <w:rFonts w:ascii="Arial" w:hAnsi="Arial"/>
          <w:sz w:val="18"/>
        </w:rPr>
        <w:br/>
      </w:r>
      <w:r w:rsidRPr="00B42841">
        <w:rPr>
          <w:rFonts w:ascii="Arial" w:hAnsi="Arial"/>
          <w:sz w:val="18"/>
        </w:rPr>
        <w:t>53117 Bonn</w:t>
      </w:r>
      <w:r w:rsidR="0038685A">
        <w:rPr>
          <w:rFonts w:ascii="Arial" w:hAnsi="Arial"/>
          <w:sz w:val="18"/>
        </w:rPr>
        <w:br/>
      </w:r>
      <w:r w:rsidRPr="00B42841">
        <w:rPr>
          <w:rFonts w:ascii="Arial" w:hAnsi="Arial"/>
          <w:sz w:val="18"/>
        </w:rPr>
        <w:t>E-Mail: poststelle@bafin.de</w:t>
      </w:r>
      <w:r w:rsidR="0038685A">
        <w:rPr>
          <w:rFonts w:ascii="Arial" w:hAnsi="Arial"/>
          <w:sz w:val="18"/>
        </w:rPr>
        <w:br/>
      </w:r>
      <w:r w:rsidRPr="00B42841">
        <w:rPr>
          <w:rFonts w:ascii="Arial" w:hAnsi="Arial"/>
          <w:sz w:val="18"/>
        </w:rPr>
        <w:t xml:space="preserve">Internet: </w:t>
      </w:r>
      <w:r w:rsidR="0038685A" w:rsidRPr="0038685A">
        <w:rPr>
          <w:rFonts w:ascii="Arial" w:hAnsi="Arial"/>
          <w:sz w:val="18"/>
        </w:rPr>
        <w:t>https://www.bafin.de</w:t>
      </w:r>
    </w:p>
    <w:p w14:paraId="702438AD" w14:textId="77777777" w:rsidR="00B42841" w:rsidRPr="00B42841" w:rsidRDefault="00B42841" w:rsidP="0038685A">
      <w:pPr>
        <w:spacing w:after="100"/>
        <w:ind w:left="709"/>
        <w:jc w:val="both"/>
        <w:rPr>
          <w:rFonts w:ascii="Arial" w:hAnsi="Arial"/>
          <w:sz w:val="18"/>
        </w:rPr>
      </w:pPr>
      <w:r w:rsidRPr="00B42841">
        <w:rPr>
          <w:rFonts w:ascii="Arial" w:hAnsi="Arial"/>
          <w:sz w:val="18"/>
        </w:rPr>
        <w:t>Hinweis: Die BaFin ist keine Schiedsstelle und kann einzelne Streitfälle nicht verbindlich entscheiden.</w:t>
      </w:r>
    </w:p>
    <w:p w14:paraId="389F4A12" w14:textId="77777777" w:rsidR="00B42841" w:rsidRPr="00B42841" w:rsidRDefault="0038685A" w:rsidP="00B42841">
      <w:pPr>
        <w:spacing w:after="100"/>
        <w:ind w:left="709" w:hanging="709"/>
        <w:rPr>
          <w:rFonts w:ascii="Arial" w:hAnsi="Arial"/>
          <w:sz w:val="18"/>
        </w:rPr>
      </w:pPr>
      <w:r>
        <w:rPr>
          <w:rFonts w:ascii="Arial" w:hAnsi="Arial"/>
          <w:sz w:val="18"/>
        </w:rPr>
        <w:t>8.</w:t>
      </w:r>
      <w:r w:rsidR="009D6FE6">
        <w:rPr>
          <w:rFonts w:ascii="Arial" w:hAnsi="Arial"/>
          <w:sz w:val="18"/>
        </w:rPr>
        <w:t>1.3</w:t>
      </w:r>
      <w:r>
        <w:rPr>
          <w:rFonts w:ascii="Arial" w:hAnsi="Arial"/>
          <w:sz w:val="18"/>
        </w:rPr>
        <w:tab/>
      </w:r>
      <w:r w:rsidR="00B42841" w:rsidRPr="00B42841">
        <w:rPr>
          <w:rFonts w:ascii="Arial" w:hAnsi="Arial"/>
          <w:sz w:val="18"/>
        </w:rPr>
        <w:t>Rechtsweg</w:t>
      </w:r>
    </w:p>
    <w:p w14:paraId="51E96CE1" w14:textId="77777777" w:rsidR="008800EB" w:rsidRPr="0038685A" w:rsidRDefault="00B42841" w:rsidP="0038685A">
      <w:pPr>
        <w:spacing w:after="100"/>
        <w:ind w:left="709"/>
        <w:rPr>
          <w:rFonts w:ascii="Arial" w:hAnsi="Arial"/>
          <w:bCs/>
          <w:sz w:val="18"/>
        </w:rPr>
      </w:pPr>
      <w:r w:rsidRPr="0038685A">
        <w:rPr>
          <w:rFonts w:ascii="Arial" w:hAnsi="Arial"/>
          <w:bCs/>
          <w:sz w:val="18"/>
        </w:rPr>
        <w:t>Außerdem besteht die Möglichkeit, den Rechtsweg zu beschreiten.</w:t>
      </w:r>
    </w:p>
    <w:sectPr w:rsidR="008800EB" w:rsidRPr="0038685A" w:rsidSect="00662132">
      <w:endnotePr>
        <w:numFmt w:val="decimal"/>
      </w:endnotePr>
      <w:type w:val="continuous"/>
      <w:pgSz w:w="11907" w:h="16840" w:code="9"/>
      <w:pgMar w:top="669" w:right="850" w:bottom="567" w:left="850" w:header="357" w:footer="351" w:gutter="0"/>
      <w:pgNumType w:start="1"/>
      <w:cols w:num="2" w:space="307"/>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E4530" w14:textId="77777777" w:rsidR="00FE02A6" w:rsidRDefault="00FE02A6">
      <w:pPr>
        <w:spacing w:line="20" w:lineRule="exact"/>
        <w:rPr>
          <w:sz w:val="24"/>
        </w:rPr>
      </w:pPr>
    </w:p>
  </w:endnote>
  <w:endnote w:type="continuationSeparator" w:id="0">
    <w:p w14:paraId="0C1CB83B" w14:textId="77777777" w:rsidR="00FE02A6" w:rsidRDefault="00FE02A6">
      <w:r>
        <w:rPr>
          <w:sz w:val="24"/>
        </w:rPr>
        <w:t xml:space="preserve"> </w:t>
      </w:r>
    </w:p>
  </w:endnote>
  <w:endnote w:type="continuationNotice" w:id="1">
    <w:p w14:paraId="2248344C" w14:textId="77777777" w:rsidR="00FE02A6" w:rsidRDefault="00FE02A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FAEC" w14:textId="77777777" w:rsidR="007D257E" w:rsidRPr="00662132" w:rsidRDefault="007D257E" w:rsidP="00662132">
    <w:pPr>
      <w:pStyle w:val="Fuzeile"/>
      <w:tabs>
        <w:tab w:val="clear" w:pos="4536"/>
        <w:tab w:val="clear" w:pos="9072"/>
        <w:tab w:val="left" w:pos="9213"/>
        <w:tab w:val="right" w:pos="10205"/>
      </w:tabs>
      <w:rPr>
        <w:rFonts w:ascii="Arial" w:hAnsi="Arial" w:cs="Arial"/>
        <w:sz w:val="16"/>
      </w:rPr>
    </w:pPr>
    <w:r w:rsidRPr="00662132">
      <w:rPr>
        <w:rFonts w:ascii="Arial" w:hAnsi="Arial" w:cs="Arial"/>
        <w:noProof/>
        <w:sz w:val="16"/>
      </w:rPr>
      <w:pict w14:anchorId="2B35D114">
        <v:line id="_x0000_s1032" style="position:absolute;z-index:2" from=".85pt,-1.4pt" to="36.85pt,-1.4pt" o:allowincell="f">
          <w10:anchorlock/>
        </v:line>
      </w:pict>
    </w:r>
    <w:r w:rsidRPr="00662132">
      <w:rPr>
        <w:rFonts w:ascii="Arial" w:hAnsi="Arial" w:cs="Arial"/>
        <w:sz w:val="16"/>
      </w:rPr>
      <w:t>DTV-Güter 2000/</w:t>
    </w:r>
    <w:r w:rsidR="001F6B1C">
      <w:rPr>
        <w:rFonts w:ascii="Arial" w:hAnsi="Arial" w:cs="Arial"/>
        <w:sz w:val="16"/>
      </w:rPr>
      <w:t>2011</w:t>
    </w:r>
    <w:r w:rsidRPr="00662132">
      <w:rPr>
        <w:rFonts w:ascii="Arial" w:hAnsi="Arial" w:cs="Arial"/>
        <w:sz w:val="16"/>
      </w:rPr>
      <w:t xml:space="preserve">, Besondere Bedingungen für die Versicherung von Umzugsgut, </w:t>
    </w:r>
    <w:r w:rsidR="003A6D42">
      <w:rPr>
        <w:rFonts w:ascii="Arial" w:hAnsi="Arial" w:cs="Arial"/>
        <w:sz w:val="16"/>
      </w:rPr>
      <w:t>März 2025</w:t>
    </w:r>
    <w:r w:rsidRPr="00662132">
      <w:rPr>
        <w:rFonts w:ascii="Arial" w:hAnsi="Arial" w:cs="Arial"/>
        <w:sz w:val="16"/>
      </w:rPr>
      <w:tab/>
      <w:t>Seite</w:t>
    </w:r>
    <w:r w:rsidRPr="00662132">
      <w:rPr>
        <w:rFonts w:ascii="Arial" w:hAnsi="Arial" w:cs="Arial"/>
        <w:sz w:val="16"/>
      </w:rPr>
      <w:tab/>
    </w:r>
    <w:r w:rsidRPr="00662132">
      <w:rPr>
        <w:rFonts w:ascii="Arial" w:hAnsi="Arial" w:cs="Arial"/>
        <w:sz w:val="16"/>
      </w:rPr>
      <w:fldChar w:fldCharType="begin"/>
    </w:r>
    <w:r w:rsidRPr="00662132">
      <w:rPr>
        <w:rFonts w:ascii="Arial" w:hAnsi="Arial" w:cs="Arial"/>
        <w:sz w:val="16"/>
      </w:rPr>
      <w:instrText xml:space="preserve"> PAGE  \* MERGEFORMAT </w:instrText>
    </w:r>
    <w:r w:rsidRPr="00662132">
      <w:rPr>
        <w:rFonts w:ascii="Arial" w:hAnsi="Arial" w:cs="Arial"/>
        <w:sz w:val="16"/>
      </w:rPr>
      <w:fldChar w:fldCharType="separate"/>
    </w:r>
    <w:r w:rsidR="00A94CFB">
      <w:rPr>
        <w:rFonts w:ascii="Arial" w:hAnsi="Arial" w:cs="Arial"/>
        <w:noProof/>
        <w:sz w:val="16"/>
      </w:rPr>
      <w:t>2</w:t>
    </w:r>
    <w:r w:rsidRPr="00662132">
      <w:rPr>
        <w:rFonts w:ascii="Arial" w:hAnsi="Arial" w:cs="Arial"/>
        <w:sz w:val="16"/>
      </w:rPr>
      <w:fldChar w:fldCharType="end"/>
    </w:r>
    <w:r w:rsidRPr="00662132">
      <w:rPr>
        <w:rFonts w:ascii="Arial" w:hAnsi="Arial" w:cs="Arial"/>
        <w:sz w:val="16"/>
      </w:rPr>
      <w:t xml:space="preserve"> / </w:t>
    </w:r>
    <w:r w:rsidRPr="00662132">
      <w:rPr>
        <w:rFonts w:ascii="Arial" w:hAnsi="Arial" w:cs="Arial"/>
        <w:sz w:val="16"/>
      </w:rPr>
      <w:fldChar w:fldCharType="begin"/>
    </w:r>
    <w:r w:rsidRPr="00662132">
      <w:rPr>
        <w:rFonts w:ascii="Arial" w:hAnsi="Arial" w:cs="Arial"/>
        <w:sz w:val="16"/>
      </w:rPr>
      <w:instrText xml:space="preserve"> NUMPAGES  \* MERGEFORMAT </w:instrText>
    </w:r>
    <w:r w:rsidRPr="00662132">
      <w:rPr>
        <w:rFonts w:ascii="Arial" w:hAnsi="Arial" w:cs="Arial"/>
        <w:sz w:val="16"/>
      </w:rPr>
      <w:fldChar w:fldCharType="separate"/>
    </w:r>
    <w:r w:rsidR="00A94CFB">
      <w:rPr>
        <w:rFonts w:ascii="Arial" w:hAnsi="Arial" w:cs="Arial"/>
        <w:noProof/>
        <w:sz w:val="16"/>
      </w:rPr>
      <w:t>2</w:t>
    </w:r>
    <w:r w:rsidRPr="00662132">
      <w:rPr>
        <w:rFonts w:ascii="Arial" w:hAnsi="Arial"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04D6" w14:textId="77777777" w:rsidR="007D257E" w:rsidRPr="00662132" w:rsidRDefault="007D257E" w:rsidP="00662132">
    <w:pPr>
      <w:pStyle w:val="Fuzeile"/>
      <w:tabs>
        <w:tab w:val="clear" w:pos="4536"/>
        <w:tab w:val="clear" w:pos="9072"/>
        <w:tab w:val="left" w:pos="9213"/>
        <w:tab w:val="right" w:pos="10205"/>
      </w:tabs>
      <w:rPr>
        <w:rFonts w:ascii="Arial" w:hAnsi="Arial" w:cs="Arial"/>
        <w:sz w:val="16"/>
      </w:rPr>
    </w:pPr>
    <w:r w:rsidRPr="00662132">
      <w:rPr>
        <w:rFonts w:ascii="Arial" w:hAnsi="Arial" w:cs="Arial"/>
        <w:noProof/>
        <w:sz w:val="16"/>
      </w:rPr>
      <w:pict w14:anchorId="61043213">
        <v:line id="_x0000_s1031" style="position:absolute;z-index:-4" from=".85pt,-1.4pt" to="36.85pt,-1.4pt" o:allowincell="f">
          <w10:anchorlock/>
        </v:line>
      </w:pict>
    </w:r>
    <w:r w:rsidRPr="00662132">
      <w:rPr>
        <w:rFonts w:ascii="Arial" w:hAnsi="Arial" w:cs="Arial"/>
        <w:sz w:val="16"/>
      </w:rPr>
      <w:t>DTV-Güter 2000/</w:t>
    </w:r>
    <w:r w:rsidR="001F6B1C">
      <w:rPr>
        <w:rFonts w:ascii="Arial" w:hAnsi="Arial" w:cs="Arial"/>
        <w:sz w:val="16"/>
      </w:rPr>
      <w:t>2011</w:t>
    </w:r>
    <w:r w:rsidRPr="00662132">
      <w:rPr>
        <w:rFonts w:ascii="Arial" w:hAnsi="Arial" w:cs="Arial"/>
        <w:sz w:val="16"/>
      </w:rPr>
      <w:t xml:space="preserve">, </w:t>
    </w:r>
    <w:r>
      <w:rPr>
        <w:rFonts w:ascii="Arial" w:hAnsi="Arial" w:cs="Arial"/>
        <w:sz w:val="16"/>
      </w:rPr>
      <w:t>BB</w:t>
    </w:r>
    <w:r w:rsidRPr="00662132">
      <w:rPr>
        <w:rFonts w:ascii="Arial" w:hAnsi="Arial" w:cs="Arial"/>
        <w:sz w:val="16"/>
      </w:rPr>
      <w:t xml:space="preserve"> für die Versicherung von Umzugsgut, </w:t>
    </w:r>
    <w:r w:rsidR="003A6D42">
      <w:rPr>
        <w:rFonts w:ascii="Arial" w:hAnsi="Arial" w:cs="Arial"/>
        <w:sz w:val="16"/>
      </w:rPr>
      <w:t>März 2025</w:t>
    </w:r>
    <w:r w:rsidRPr="00662132">
      <w:rPr>
        <w:rFonts w:ascii="Arial" w:hAnsi="Arial" w:cs="Arial"/>
        <w:sz w:val="16"/>
      </w:rPr>
      <w:tab/>
      <w:t>Seite</w:t>
    </w:r>
    <w:r w:rsidRPr="00662132">
      <w:rPr>
        <w:rFonts w:ascii="Arial" w:hAnsi="Arial" w:cs="Arial"/>
        <w:sz w:val="16"/>
      </w:rPr>
      <w:tab/>
    </w:r>
    <w:r w:rsidRPr="00662132">
      <w:rPr>
        <w:rFonts w:ascii="Arial" w:hAnsi="Arial" w:cs="Arial"/>
        <w:sz w:val="16"/>
      </w:rPr>
      <w:fldChar w:fldCharType="begin"/>
    </w:r>
    <w:r w:rsidRPr="00662132">
      <w:rPr>
        <w:rFonts w:ascii="Arial" w:hAnsi="Arial" w:cs="Arial"/>
        <w:sz w:val="16"/>
      </w:rPr>
      <w:instrText xml:space="preserve"> PAGE  \* MERGEFORMAT </w:instrText>
    </w:r>
    <w:r w:rsidRPr="00662132">
      <w:rPr>
        <w:rFonts w:ascii="Arial" w:hAnsi="Arial" w:cs="Arial"/>
        <w:sz w:val="16"/>
      </w:rPr>
      <w:fldChar w:fldCharType="separate"/>
    </w:r>
    <w:r w:rsidR="00A94CFB">
      <w:rPr>
        <w:rFonts w:ascii="Arial" w:hAnsi="Arial" w:cs="Arial"/>
        <w:noProof/>
        <w:sz w:val="16"/>
      </w:rPr>
      <w:t>1</w:t>
    </w:r>
    <w:r w:rsidRPr="00662132">
      <w:rPr>
        <w:rFonts w:ascii="Arial" w:hAnsi="Arial" w:cs="Arial"/>
        <w:sz w:val="16"/>
      </w:rPr>
      <w:fldChar w:fldCharType="end"/>
    </w:r>
    <w:r w:rsidRPr="00662132">
      <w:rPr>
        <w:rFonts w:ascii="Arial" w:hAnsi="Arial" w:cs="Arial"/>
        <w:sz w:val="16"/>
      </w:rPr>
      <w:t xml:space="preserve"> / </w:t>
    </w:r>
    <w:r w:rsidRPr="00662132">
      <w:rPr>
        <w:rFonts w:ascii="Arial" w:hAnsi="Arial" w:cs="Arial"/>
        <w:sz w:val="16"/>
      </w:rPr>
      <w:fldChar w:fldCharType="begin"/>
    </w:r>
    <w:r w:rsidRPr="00662132">
      <w:rPr>
        <w:rFonts w:ascii="Arial" w:hAnsi="Arial" w:cs="Arial"/>
        <w:sz w:val="16"/>
      </w:rPr>
      <w:instrText xml:space="preserve"> NUMPAGES  \* MERGEFORMAT </w:instrText>
    </w:r>
    <w:r w:rsidRPr="00662132">
      <w:rPr>
        <w:rFonts w:ascii="Arial" w:hAnsi="Arial" w:cs="Arial"/>
        <w:sz w:val="16"/>
      </w:rPr>
      <w:fldChar w:fldCharType="separate"/>
    </w:r>
    <w:r w:rsidR="00A94CFB">
      <w:rPr>
        <w:rFonts w:ascii="Arial" w:hAnsi="Arial" w:cs="Arial"/>
        <w:noProof/>
        <w:sz w:val="16"/>
      </w:rPr>
      <w:t>2</w:t>
    </w:r>
    <w:r w:rsidRPr="00662132">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897D7" w14:textId="77777777" w:rsidR="00FE02A6" w:rsidRDefault="00FE02A6">
      <w:r>
        <w:rPr>
          <w:sz w:val="24"/>
        </w:rPr>
        <w:separator/>
      </w:r>
    </w:p>
  </w:footnote>
  <w:footnote w:type="continuationSeparator" w:id="0">
    <w:p w14:paraId="755FD3C8" w14:textId="77777777" w:rsidR="00FE02A6" w:rsidRDefault="00FE02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50BEF" w14:textId="77777777" w:rsidR="007D257E" w:rsidRDefault="004617B1" w:rsidP="00662132">
    <w:pPr>
      <w:pStyle w:val="Kopfzeile"/>
      <w:spacing w:after="100"/>
      <w:rPr>
        <w:rFonts w:ascii="Arial" w:hAnsi="Arial" w:cs="Arial"/>
        <w:b/>
        <w:sz w:val="24"/>
      </w:rPr>
    </w:pPr>
    <w:r>
      <w:rPr>
        <w:noProof/>
      </w:rPr>
      <w:pict w14:anchorId="5FC1DC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Logo Gesamtverband der Versicherer" style="position:absolute;margin-left:0;margin-top:9.9pt;width:184.5pt;height:32.25pt;z-index:4;visibility:visible" o:allowincell="f">
          <v:imagedata r:id="rId1" o:title="" croptop="18314f" cropbottom="14486f" cropleft="3738f" cropright="4426f"/>
        </v:shape>
      </w:pict>
    </w:r>
  </w:p>
  <w:p w14:paraId="52C79DF9" w14:textId="77777777" w:rsidR="007D257E" w:rsidRDefault="007D257E" w:rsidP="00662132">
    <w:pPr>
      <w:pStyle w:val="Kopfzeile"/>
      <w:spacing w:after="100"/>
      <w:rPr>
        <w:rFonts w:ascii="Arial" w:hAnsi="Arial" w:cs="Arial"/>
        <w:b/>
        <w:sz w:val="24"/>
      </w:rPr>
    </w:pPr>
  </w:p>
  <w:p w14:paraId="4F04449B" w14:textId="77777777" w:rsidR="007D257E" w:rsidRDefault="007D257E" w:rsidP="00662132">
    <w:pPr>
      <w:pStyle w:val="Kopfzeile"/>
      <w:spacing w:after="100"/>
      <w:rPr>
        <w:rFonts w:ascii="Arial" w:hAnsi="Arial" w:cs="Arial"/>
        <w:b/>
        <w:sz w:val="24"/>
      </w:rPr>
    </w:pPr>
  </w:p>
  <w:p w14:paraId="71C8BE67" w14:textId="77777777" w:rsidR="007D257E" w:rsidRPr="00662132" w:rsidRDefault="007D257E" w:rsidP="00662132">
    <w:pPr>
      <w:pStyle w:val="Kopfzeile"/>
      <w:spacing w:after="100"/>
      <w:rPr>
        <w:rFonts w:ascii="Arial" w:hAnsi="Arial" w:cs="Arial"/>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9A1E8" w14:textId="77777777" w:rsidR="007D257E" w:rsidRDefault="004617B1" w:rsidP="00662132">
    <w:pPr>
      <w:pStyle w:val="Textkrper2"/>
      <w:pBdr>
        <w:bottom w:val="single" w:sz="4" w:space="1" w:color="auto"/>
      </w:pBdr>
      <w:spacing w:after="100"/>
      <w:rPr>
        <w:rFonts w:cs="Arial"/>
        <w:b/>
        <w:sz w:val="24"/>
      </w:rPr>
    </w:pPr>
    <w:r>
      <w:rPr>
        <w:noProof/>
      </w:rPr>
      <w:pict w14:anchorId="4AA2C2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35" type="#_x0000_t75" alt="Logo Gesamtverband der Versicherer" style="position:absolute;left:0;text-align:left;margin-left:0;margin-top:9.9pt;width:184.5pt;height:32.25pt;z-index:3;visibility:visible" o:allowincell="f">
          <v:imagedata r:id="rId1" o:title="" croptop="18314f" cropbottom="14486f" cropleft="3738f" cropright="4426f"/>
        </v:shape>
      </w:pict>
    </w:r>
  </w:p>
  <w:p w14:paraId="1324EE2B" w14:textId="77777777" w:rsidR="007D257E" w:rsidRDefault="007D257E" w:rsidP="00662132">
    <w:pPr>
      <w:pStyle w:val="Textkrper2"/>
      <w:pBdr>
        <w:bottom w:val="single" w:sz="4" w:space="1" w:color="auto"/>
      </w:pBdr>
      <w:spacing w:after="100"/>
      <w:rPr>
        <w:rFonts w:cs="Arial"/>
        <w:b/>
        <w:sz w:val="24"/>
      </w:rPr>
    </w:pPr>
  </w:p>
  <w:p w14:paraId="0AD19388" w14:textId="77777777" w:rsidR="007D257E" w:rsidRDefault="007D257E" w:rsidP="00662132">
    <w:pPr>
      <w:pStyle w:val="Textkrper2"/>
      <w:pBdr>
        <w:bottom w:val="single" w:sz="4" w:space="1" w:color="auto"/>
      </w:pBdr>
      <w:spacing w:after="100"/>
      <w:rPr>
        <w:rFonts w:cs="Arial"/>
        <w:b/>
        <w:sz w:val="24"/>
      </w:rPr>
    </w:pPr>
  </w:p>
  <w:p w14:paraId="25158CD1" w14:textId="77777777" w:rsidR="007D257E" w:rsidRPr="00662132" w:rsidRDefault="007D257E" w:rsidP="00662132">
    <w:pPr>
      <w:pStyle w:val="Textkrper2"/>
      <w:pBdr>
        <w:bottom w:val="single" w:sz="4" w:space="1" w:color="auto"/>
      </w:pBdr>
      <w:spacing w:after="100"/>
      <w:rPr>
        <w:rFonts w:cs="Arial"/>
        <w:b/>
        <w:sz w:val="24"/>
      </w:rPr>
    </w:pPr>
  </w:p>
  <w:p w14:paraId="46C8018C" w14:textId="77777777" w:rsidR="007D257E" w:rsidRPr="00662132" w:rsidRDefault="007D257E" w:rsidP="00662132">
    <w:pPr>
      <w:pStyle w:val="Textkrper2"/>
      <w:pBdr>
        <w:bottom w:val="single" w:sz="4" w:space="1" w:color="auto"/>
      </w:pBdr>
      <w:rPr>
        <w:sz w:val="20"/>
      </w:rPr>
    </w:pPr>
    <w:r w:rsidRPr="00662132">
      <w:rPr>
        <w:sz w:val="20"/>
      </w:rPr>
      <w:t>Unverbindliche Bekanntgabe des Gesamtverbandes der Deutschen Versicherungswirtschaft e. V. (GDV)</w:t>
    </w:r>
    <w:r w:rsidRPr="00662132">
      <w:rPr>
        <w:sz w:val="20"/>
      </w:rPr>
      <w:br/>
      <w:t>zur fakultativen Verwendung. Abweichende Vereinbarungen sind möglich.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00A57D4"/>
    <w:lvl w:ilvl="0">
      <w:numFmt w:val="decimal"/>
      <w:pStyle w:val="aaadejongAufzStrich"/>
      <w:lvlText w:val="*"/>
      <w:lvlJc w:val="left"/>
    </w:lvl>
  </w:abstractNum>
  <w:abstractNum w:abstractNumId="1" w15:restartNumberingAfterBreak="0">
    <w:nsid w:val="2657178C"/>
    <w:multiLevelType w:val="hybridMultilevel"/>
    <w:tmpl w:val="2F621AB6"/>
    <w:lvl w:ilvl="0" w:tplc="FFFFFFFF">
      <w:start w:val="1"/>
      <w:numFmt w:val="bullet"/>
      <w:lvlText w:val=""/>
      <w:lvlJc w:val="left"/>
      <w:pPr>
        <w:tabs>
          <w:tab w:val="num" w:pos="1062"/>
        </w:tabs>
        <w:ind w:left="1062" w:hanging="357"/>
      </w:pPr>
      <w:rPr>
        <w:rFonts w:ascii="Symbol" w:hAnsi="Symbol" w:hint="default"/>
      </w:rPr>
    </w:lvl>
    <w:lvl w:ilvl="1" w:tplc="FFFFFFFF" w:tentative="1">
      <w:start w:val="1"/>
      <w:numFmt w:val="bullet"/>
      <w:lvlText w:val="o"/>
      <w:lvlJc w:val="left"/>
      <w:pPr>
        <w:tabs>
          <w:tab w:val="num" w:pos="2145"/>
        </w:tabs>
        <w:ind w:left="2145" w:hanging="360"/>
      </w:pPr>
      <w:rPr>
        <w:rFonts w:ascii="Courier New" w:hAnsi="Courier New" w:cs="Courier New" w:hint="default"/>
      </w:rPr>
    </w:lvl>
    <w:lvl w:ilvl="2" w:tplc="FFFFFFFF" w:tentative="1">
      <w:start w:val="1"/>
      <w:numFmt w:val="bullet"/>
      <w:lvlText w:val=""/>
      <w:lvlJc w:val="left"/>
      <w:pPr>
        <w:tabs>
          <w:tab w:val="num" w:pos="2865"/>
        </w:tabs>
        <w:ind w:left="2865" w:hanging="360"/>
      </w:pPr>
      <w:rPr>
        <w:rFonts w:ascii="Wingdings" w:hAnsi="Wingdings" w:hint="default"/>
      </w:rPr>
    </w:lvl>
    <w:lvl w:ilvl="3" w:tplc="FFFFFFFF" w:tentative="1">
      <w:start w:val="1"/>
      <w:numFmt w:val="bullet"/>
      <w:lvlText w:val=""/>
      <w:lvlJc w:val="left"/>
      <w:pPr>
        <w:tabs>
          <w:tab w:val="num" w:pos="3585"/>
        </w:tabs>
        <w:ind w:left="3585" w:hanging="360"/>
      </w:pPr>
      <w:rPr>
        <w:rFonts w:ascii="Symbol" w:hAnsi="Symbol" w:hint="default"/>
      </w:rPr>
    </w:lvl>
    <w:lvl w:ilvl="4" w:tplc="FFFFFFFF" w:tentative="1">
      <w:start w:val="1"/>
      <w:numFmt w:val="bullet"/>
      <w:lvlText w:val="o"/>
      <w:lvlJc w:val="left"/>
      <w:pPr>
        <w:tabs>
          <w:tab w:val="num" w:pos="4305"/>
        </w:tabs>
        <w:ind w:left="4305" w:hanging="360"/>
      </w:pPr>
      <w:rPr>
        <w:rFonts w:ascii="Courier New" w:hAnsi="Courier New" w:cs="Courier New" w:hint="default"/>
      </w:rPr>
    </w:lvl>
    <w:lvl w:ilvl="5" w:tplc="FFFFFFFF" w:tentative="1">
      <w:start w:val="1"/>
      <w:numFmt w:val="bullet"/>
      <w:lvlText w:val=""/>
      <w:lvlJc w:val="left"/>
      <w:pPr>
        <w:tabs>
          <w:tab w:val="num" w:pos="5025"/>
        </w:tabs>
        <w:ind w:left="5025" w:hanging="360"/>
      </w:pPr>
      <w:rPr>
        <w:rFonts w:ascii="Wingdings" w:hAnsi="Wingdings" w:hint="default"/>
      </w:rPr>
    </w:lvl>
    <w:lvl w:ilvl="6" w:tplc="FFFFFFFF" w:tentative="1">
      <w:start w:val="1"/>
      <w:numFmt w:val="bullet"/>
      <w:lvlText w:val=""/>
      <w:lvlJc w:val="left"/>
      <w:pPr>
        <w:tabs>
          <w:tab w:val="num" w:pos="5745"/>
        </w:tabs>
        <w:ind w:left="5745" w:hanging="360"/>
      </w:pPr>
      <w:rPr>
        <w:rFonts w:ascii="Symbol" w:hAnsi="Symbol" w:hint="default"/>
      </w:rPr>
    </w:lvl>
    <w:lvl w:ilvl="7" w:tplc="FFFFFFFF" w:tentative="1">
      <w:start w:val="1"/>
      <w:numFmt w:val="bullet"/>
      <w:lvlText w:val="o"/>
      <w:lvlJc w:val="left"/>
      <w:pPr>
        <w:tabs>
          <w:tab w:val="num" w:pos="6465"/>
        </w:tabs>
        <w:ind w:left="6465" w:hanging="360"/>
      </w:pPr>
      <w:rPr>
        <w:rFonts w:ascii="Courier New" w:hAnsi="Courier New" w:cs="Courier New" w:hint="default"/>
      </w:rPr>
    </w:lvl>
    <w:lvl w:ilvl="8" w:tplc="FFFFFFFF"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52FF36DF"/>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58C2501B"/>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15:restartNumberingAfterBreak="0">
    <w:nsid w:val="652934A1"/>
    <w:multiLevelType w:val="singleLevel"/>
    <w:tmpl w:val="62467D7E"/>
    <w:lvl w:ilvl="0">
      <w:numFmt w:val="bullet"/>
      <w:lvlText w:val="-"/>
      <w:lvlJc w:val="left"/>
      <w:pPr>
        <w:tabs>
          <w:tab w:val="num" w:pos="1065"/>
        </w:tabs>
        <w:ind w:left="1065" w:hanging="360"/>
      </w:pPr>
      <w:rPr>
        <w:rFonts w:hint="default"/>
      </w:rPr>
    </w:lvl>
  </w:abstractNum>
  <w:abstractNum w:abstractNumId="5" w15:restartNumberingAfterBreak="0">
    <w:nsid w:val="6BE27948"/>
    <w:multiLevelType w:val="singleLevel"/>
    <w:tmpl w:val="127C81B2"/>
    <w:lvl w:ilvl="0">
      <w:start w:val="2"/>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6" w15:restartNumberingAfterBreak="0">
    <w:nsid w:val="6DE41653"/>
    <w:multiLevelType w:val="singleLevel"/>
    <w:tmpl w:val="2FE0F154"/>
    <w:lvl w:ilvl="0">
      <w:start w:val="1"/>
      <w:numFmt w:val="decimal"/>
      <w:lvlText w:val="2.%1 "/>
      <w:legacy w:legacy="1" w:legacySpace="0" w:legacyIndent="283"/>
      <w:lvlJc w:val="left"/>
      <w:pPr>
        <w:ind w:left="1417" w:hanging="283"/>
      </w:pPr>
      <w:rPr>
        <w:rFonts w:ascii="Times New Roman" w:hAnsi="Times New Roman" w:hint="default"/>
        <w:b/>
        <w:i w:val="0"/>
        <w:sz w:val="16"/>
        <w:u w:val="none"/>
      </w:rPr>
    </w:lvl>
  </w:abstractNum>
  <w:abstractNum w:abstractNumId="7" w15:restartNumberingAfterBreak="0">
    <w:nsid w:val="7B345E74"/>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751200474">
    <w:abstractNumId w:val="6"/>
  </w:num>
  <w:num w:numId="2" w16cid:durableId="955989233">
    <w:abstractNumId w:val="0"/>
    <w:lvlOverride w:ilvl="0">
      <w:lvl w:ilvl="0">
        <w:start w:val="1"/>
        <w:numFmt w:val="bullet"/>
        <w:pStyle w:val="aaadejongAufzStrich"/>
        <w:lvlText w:val=""/>
        <w:legacy w:legacy="1" w:legacySpace="0" w:legacyIndent="283"/>
        <w:lvlJc w:val="left"/>
        <w:pPr>
          <w:ind w:left="1417" w:hanging="283"/>
        </w:pPr>
        <w:rPr>
          <w:rFonts w:ascii="Symbol" w:hAnsi="Symbol" w:hint="default"/>
        </w:rPr>
      </w:lvl>
    </w:lvlOverride>
  </w:num>
  <w:num w:numId="3" w16cid:durableId="616257418">
    <w:abstractNumId w:val="5"/>
  </w:num>
  <w:num w:numId="4" w16cid:durableId="255141511">
    <w:abstractNumId w:val="7"/>
  </w:num>
  <w:num w:numId="5" w16cid:durableId="1159493498">
    <w:abstractNumId w:val="4"/>
  </w:num>
  <w:num w:numId="6" w16cid:durableId="1307006221">
    <w:abstractNumId w:val="0"/>
    <w:lvlOverride w:ilvl="0">
      <w:lvl w:ilvl="0">
        <w:start w:val="1"/>
        <w:numFmt w:val="bullet"/>
        <w:pStyle w:val="aaadejongAufzStrich"/>
        <w:lvlText w:val=""/>
        <w:legacy w:legacy="1" w:legacySpace="0" w:legacyIndent="283"/>
        <w:lvlJc w:val="left"/>
        <w:pPr>
          <w:ind w:left="283" w:hanging="283"/>
        </w:pPr>
        <w:rPr>
          <w:rFonts w:ascii="Symbol" w:hAnsi="Symbol" w:hint="default"/>
        </w:rPr>
      </w:lvl>
    </w:lvlOverride>
  </w:num>
  <w:num w:numId="7" w16cid:durableId="193005590">
    <w:abstractNumId w:val="2"/>
  </w:num>
  <w:num w:numId="8" w16cid:durableId="1911571658">
    <w:abstractNumId w:val="1"/>
  </w:num>
  <w:num w:numId="9" w16cid:durableId="1296641361">
    <w:abstractNumId w:val="3"/>
  </w:num>
  <w:num w:numId="10" w16cid:durableId="1129933610">
    <w:abstractNumId w:val="0"/>
    <w:lvlOverride w:ilvl="0">
      <w:lvl w:ilvl="0">
        <w:start w:val="1"/>
        <w:numFmt w:val="bullet"/>
        <w:pStyle w:val="aaadejongAufzStrich"/>
        <w:lvlText w:val=""/>
        <w:legacy w:legacy="1" w:legacySpace="0" w:legacyIndent="283"/>
        <w:lvlJc w:val="left"/>
        <w:pPr>
          <w:ind w:left="1134"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oNotHyphenateCaps/>
  <w:drawingGridHorizontalSpacing w:val="24"/>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numFmt w:val="decimal"/>
    <w:endnote w:id="-1"/>
    <w:endnote w:id="0"/>
    <w:endnote w:id="1"/>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1AE3"/>
    <w:rsid w:val="0004160C"/>
    <w:rsid w:val="000D79BC"/>
    <w:rsid w:val="000F3462"/>
    <w:rsid w:val="00160609"/>
    <w:rsid w:val="00173025"/>
    <w:rsid w:val="00174B2E"/>
    <w:rsid w:val="00193A87"/>
    <w:rsid w:val="001B1F1B"/>
    <w:rsid w:val="001F6B1C"/>
    <w:rsid w:val="002168E7"/>
    <w:rsid w:val="002204D4"/>
    <w:rsid w:val="00234E22"/>
    <w:rsid w:val="00244E87"/>
    <w:rsid w:val="002464E9"/>
    <w:rsid w:val="002535CC"/>
    <w:rsid w:val="002629D5"/>
    <w:rsid w:val="002778E1"/>
    <w:rsid w:val="00283436"/>
    <w:rsid w:val="002A40C6"/>
    <w:rsid w:val="00317270"/>
    <w:rsid w:val="0034568D"/>
    <w:rsid w:val="0038685A"/>
    <w:rsid w:val="003A6D42"/>
    <w:rsid w:val="003B3057"/>
    <w:rsid w:val="00414783"/>
    <w:rsid w:val="004617B1"/>
    <w:rsid w:val="004666BF"/>
    <w:rsid w:val="00490D54"/>
    <w:rsid w:val="004A42E9"/>
    <w:rsid w:val="004A493D"/>
    <w:rsid w:val="004B2C63"/>
    <w:rsid w:val="00503003"/>
    <w:rsid w:val="00560C65"/>
    <w:rsid w:val="00564A52"/>
    <w:rsid w:val="005760E6"/>
    <w:rsid w:val="0058329C"/>
    <w:rsid w:val="005C4845"/>
    <w:rsid w:val="005D4B8B"/>
    <w:rsid w:val="00616ED1"/>
    <w:rsid w:val="0062248C"/>
    <w:rsid w:val="00623B76"/>
    <w:rsid w:val="00626592"/>
    <w:rsid w:val="00637CDD"/>
    <w:rsid w:val="00644903"/>
    <w:rsid w:val="00662132"/>
    <w:rsid w:val="00684082"/>
    <w:rsid w:val="00694887"/>
    <w:rsid w:val="007105D3"/>
    <w:rsid w:val="007108B1"/>
    <w:rsid w:val="0076353D"/>
    <w:rsid w:val="00770849"/>
    <w:rsid w:val="007B280C"/>
    <w:rsid w:val="007C5A0D"/>
    <w:rsid w:val="007D257E"/>
    <w:rsid w:val="007E2A70"/>
    <w:rsid w:val="007F7BC8"/>
    <w:rsid w:val="008127A2"/>
    <w:rsid w:val="00862436"/>
    <w:rsid w:val="00870C79"/>
    <w:rsid w:val="00871E5A"/>
    <w:rsid w:val="008800EB"/>
    <w:rsid w:val="0089710C"/>
    <w:rsid w:val="008A258B"/>
    <w:rsid w:val="008C58D7"/>
    <w:rsid w:val="008E3E43"/>
    <w:rsid w:val="0090124D"/>
    <w:rsid w:val="00934BE2"/>
    <w:rsid w:val="00935A57"/>
    <w:rsid w:val="0098735C"/>
    <w:rsid w:val="009A4BF1"/>
    <w:rsid w:val="009D6FE6"/>
    <w:rsid w:val="00A1785E"/>
    <w:rsid w:val="00A21B82"/>
    <w:rsid w:val="00A549F8"/>
    <w:rsid w:val="00A7270C"/>
    <w:rsid w:val="00A94CFB"/>
    <w:rsid w:val="00AC7A60"/>
    <w:rsid w:val="00AE07AE"/>
    <w:rsid w:val="00AE3173"/>
    <w:rsid w:val="00B07B6C"/>
    <w:rsid w:val="00B419B2"/>
    <w:rsid w:val="00B42841"/>
    <w:rsid w:val="00B6269A"/>
    <w:rsid w:val="00BA61D9"/>
    <w:rsid w:val="00BB1373"/>
    <w:rsid w:val="00BF7EEC"/>
    <w:rsid w:val="00C557F9"/>
    <w:rsid w:val="00CA267F"/>
    <w:rsid w:val="00D062A7"/>
    <w:rsid w:val="00D27DFC"/>
    <w:rsid w:val="00D93354"/>
    <w:rsid w:val="00DA6129"/>
    <w:rsid w:val="00DC1AE3"/>
    <w:rsid w:val="00DE6985"/>
    <w:rsid w:val="00E24340"/>
    <w:rsid w:val="00E853B3"/>
    <w:rsid w:val="00E86E30"/>
    <w:rsid w:val="00EA3C7B"/>
    <w:rsid w:val="00EA4239"/>
    <w:rsid w:val="00EB58B4"/>
    <w:rsid w:val="00F129BC"/>
    <w:rsid w:val="00F62CB7"/>
    <w:rsid w:val="00FB0600"/>
    <w:rsid w:val="00FB3BA3"/>
    <w:rsid w:val="00FD63DC"/>
    <w:rsid w:val="00FE02A6"/>
    <w:rsid w:val="00FF4D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D37C9"/>
  <w15:chartTrackingRefBased/>
  <w15:docId w15:val="{5B157A5E-CF26-45DC-8940-2FB27CB45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pPr>
  </w:style>
  <w:style w:type="paragraph" w:styleId="berschrift1">
    <w:name w:val="heading 1"/>
    <w:basedOn w:val="Standard"/>
    <w:next w:val="Standard"/>
    <w:qFormat/>
    <w:pPr>
      <w:keepNext/>
      <w:suppressAutoHyphens/>
      <w:jc w:val="center"/>
      <w:outlineLvl w:val="0"/>
    </w:pPr>
    <w:rPr>
      <w:b/>
    </w:rPr>
  </w:style>
  <w:style w:type="paragraph" w:styleId="berschrift2">
    <w:name w:val="heading 2"/>
    <w:basedOn w:val="Standard"/>
    <w:next w:val="Standard"/>
    <w:qFormat/>
    <w:pPr>
      <w:keepNext/>
      <w:tabs>
        <w:tab w:val="left" w:pos="0"/>
        <w:tab w:val="left" w:pos="284"/>
      </w:tabs>
      <w:suppressAutoHyphens/>
      <w:outlineLvl w:val="1"/>
    </w:pPr>
    <w:rPr>
      <w:b/>
      <w:sz w:val="1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Endnotentext">
    <w:name w:val="endnote text"/>
    <w:basedOn w:val="Standard"/>
    <w:semiHidden/>
    <w:rPr>
      <w:sz w:val="24"/>
    </w:rPr>
  </w:style>
  <w:style w:type="character" w:styleId="Endnotenzeichen">
    <w:name w:val="endnote reference"/>
    <w:semiHidden/>
    <w:rPr>
      <w:sz w:val="20"/>
      <w:vertAlign w:val="superscript"/>
    </w:rPr>
  </w:style>
  <w:style w:type="paragraph" w:styleId="Funotentext">
    <w:name w:val="footnote text"/>
    <w:basedOn w:val="Standard"/>
    <w:semiHidden/>
    <w:rPr>
      <w:sz w:val="24"/>
    </w:rPr>
  </w:style>
  <w:style w:type="character" w:styleId="Funotenzeichen">
    <w:name w:val="footnote reference"/>
    <w:semiHidden/>
    <w:rPr>
      <w:sz w:val="20"/>
      <w:vertAlign w:val="superscript"/>
    </w:rPr>
  </w:style>
  <w:style w:type="paragraph" w:styleId="Verzeichnis1">
    <w:name w:val="toc 1"/>
    <w:basedOn w:val="Standard"/>
    <w:next w:val="Standard"/>
    <w:semiHidden/>
    <w:pPr>
      <w:tabs>
        <w:tab w:val="right" w:leader="dot" w:pos="9360"/>
      </w:tabs>
      <w:suppressAutoHyphens/>
      <w:spacing w:before="480"/>
      <w:ind w:left="720" w:right="720" w:hanging="720"/>
    </w:pPr>
  </w:style>
  <w:style w:type="paragraph" w:styleId="Verzeichnis2">
    <w:name w:val="toc 2"/>
    <w:basedOn w:val="Standard"/>
    <w:next w:val="Standard"/>
    <w:semiHidden/>
    <w:pPr>
      <w:tabs>
        <w:tab w:val="right" w:leader="dot" w:pos="9360"/>
      </w:tabs>
      <w:suppressAutoHyphens/>
      <w:ind w:left="1440" w:right="720" w:hanging="720"/>
    </w:pPr>
  </w:style>
  <w:style w:type="paragraph" w:styleId="Verzeichnis3">
    <w:name w:val="toc 3"/>
    <w:basedOn w:val="Standard"/>
    <w:next w:val="Standard"/>
    <w:semiHidden/>
    <w:pPr>
      <w:tabs>
        <w:tab w:val="right" w:leader="dot" w:pos="9360"/>
      </w:tabs>
      <w:suppressAutoHyphens/>
      <w:ind w:left="2160" w:right="720" w:hanging="720"/>
    </w:pPr>
  </w:style>
  <w:style w:type="paragraph" w:styleId="Verzeichnis4">
    <w:name w:val="toc 4"/>
    <w:basedOn w:val="Standard"/>
    <w:next w:val="Standard"/>
    <w:semiHidden/>
    <w:pPr>
      <w:tabs>
        <w:tab w:val="right" w:leader="dot" w:pos="9360"/>
      </w:tabs>
      <w:suppressAutoHyphens/>
      <w:ind w:left="2880" w:right="720" w:hanging="720"/>
    </w:pPr>
  </w:style>
  <w:style w:type="paragraph" w:styleId="Verzeichnis5">
    <w:name w:val="toc 5"/>
    <w:basedOn w:val="Standard"/>
    <w:next w:val="Standard"/>
    <w:semiHidden/>
    <w:pPr>
      <w:tabs>
        <w:tab w:val="right" w:leader="dot" w:pos="9360"/>
      </w:tabs>
      <w:suppressAutoHyphens/>
      <w:ind w:left="3600" w:right="720" w:hanging="720"/>
    </w:pPr>
  </w:style>
  <w:style w:type="paragraph" w:styleId="Verzeichnis6">
    <w:name w:val="toc 6"/>
    <w:basedOn w:val="Standard"/>
    <w:next w:val="Standard"/>
    <w:semiHidden/>
    <w:pPr>
      <w:tabs>
        <w:tab w:val="right" w:pos="9360"/>
      </w:tabs>
      <w:suppressAutoHyphens/>
      <w:ind w:left="720" w:hanging="720"/>
    </w:pPr>
  </w:style>
  <w:style w:type="paragraph" w:styleId="Verzeichnis7">
    <w:name w:val="toc 7"/>
    <w:basedOn w:val="Standard"/>
    <w:next w:val="Standard"/>
    <w:semiHidden/>
    <w:pPr>
      <w:suppressAutoHyphens/>
      <w:ind w:left="720" w:hanging="720"/>
    </w:pPr>
  </w:style>
  <w:style w:type="paragraph" w:styleId="Verzeichnis8">
    <w:name w:val="toc 8"/>
    <w:basedOn w:val="Standard"/>
    <w:next w:val="Standard"/>
    <w:semiHidden/>
    <w:pPr>
      <w:tabs>
        <w:tab w:val="right" w:pos="9360"/>
      </w:tabs>
      <w:suppressAutoHyphens/>
      <w:ind w:left="720" w:hanging="720"/>
    </w:pPr>
  </w:style>
  <w:style w:type="paragraph" w:styleId="Verzeichnis9">
    <w:name w:val="toc 9"/>
    <w:basedOn w:val="Standard"/>
    <w:next w:val="Standard"/>
    <w:semiHidden/>
    <w:pPr>
      <w:tabs>
        <w:tab w:val="right" w:leader="dot" w:pos="9360"/>
      </w:tabs>
      <w:suppressAutoHyphens/>
      <w:ind w:left="720" w:hanging="720"/>
    </w:pPr>
  </w:style>
  <w:style w:type="paragraph" w:styleId="Index1">
    <w:name w:val="index 1"/>
    <w:basedOn w:val="Standard"/>
    <w:next w:val="Standard"/>
    <w:semiHidden/>
    <w:pPr>
      <w:tabs>
        <w:tab w:val="right" w:leader="dot" w:pos="9360"/>
      </w:tabs>
      <w:suppressAutoHyphens/>
      <w:ind w:left="1440" w:right="720" w:hanging="1440"/>
    </w:pPr>
  </w:style>
  <w:style w:type="paragraph" w:styleId="Index2">
    <w:name w:val="index 2"/>
    <w:basedOn w:val="Standard"/>
    <w:next w:val="Standard"/>
    <w:semiHidden/>
    <w:pPr>
      <w:tabs>
        <w:tab w:val="right" w:leader="dot" w:pos="9360"/>
      </w:tabs>
      <w:suppressAutoHyphens/>
      <w:ind w:left="1440" w:right="720" w:hanging="720"/>
    </w:pPr>
  </w:style>
  <w:style w:type="paragraph" w:customStyle="1" w:styleId="toa">
    <w:name w:val="toa"/>
    <w:basedOn w:val="Standard"/>
    <w:pPr>
      <w:tabs>
        <w:tab w:val="right" w:pos="9360"/>
      </w:tabs>
      <w:suppressAutoHyphens/>
    </w:pPr>
  </w:style>
  <w:style w:type="paragraph" w:styleId="Beschriftung">
    <w:name w:val="caption"/>
    <w:basedOn w:val="Standard"/>
    <w:next w:val="Standard"/>
    <w:qFormat/>
    <w:rPr>
      <w:sz w:val="24"/>
    </w:rPr>
  </w:style>
  <w:style w:type="character" w:customStyle="1" w:styleId="EquationCaption">
    <w:name w:val="_Equation Caption"/>
    <w:rPr>
      <w:sz w:val="2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cumentMap">
    <w:name w:val="Document Map"/>
    <w:basedOn w:val="Standard"/>
    <w:pPr>
      <w:shd w:val="clear" w:color="auto" w:fill="000080"/>
    </w:pPr>
    <w:rPr>
      <w:rFonts w:ascii="Tahoma" w:hAnsi="Tahoma"/>
    </w:rPr>
  </w:style>
  <w:style w:type="paragraph" w:styleId="Textkrper">
    <w:name w:val="Body Text"/>
    <w:basedOn w:val="Standard"/>
    <w:pPr>
      <w:tabs>
        <w:tab w:val="left" w:pos="0"/>
        <w:tab w:val="left" w:pos="284"/>
      </w:tabs>
      <w:suppressAutoHyphens/>
    </w:pPr>
    <w:rPr>
      <w:b/>
      <w:sz w:val="16"/>
    </w:rPr>
  </w:style>
  <w:style w:type="character" w:styleId="Seitenzahl">
    <w:name w:val="page number"/>
    <w:basedOn w:val="Absatz-Standardschriftart"/>
  </w:style>
  <w:style w:type="paragraph" w:styleId="Textkrper2">
    <w:name w:val="Body Text 2"/>
    <w:basedOn w:val="Standard"/>
    <w:pPr>
      <w:suppressAutoHyphens/>
      <w:jc w:val="center"/>
    </w:pPr>
    <w:rPr>
      <w:rFonts w:ascii="Arial" w:hAnsi="Arial"/>
      <w:snapToGrid w:val="0"/>
      <w:sz w:val="22"/>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0F346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adejong">
    <w:name w:val="aaa_dejong"/>
    <w:basedOn w:val="Standard"/>
    <w:autoRedefine/>
    <w:rsid w:val="00193A87"/>
    <w:pPr>
      <w:tabs>
        <w:tab w:val="left" w:pos="851"/>
      </w:tabs>
      <w:ind w:left="709" w:hanging="709"/>
      <w:jc w:val="both"/>
    </w:pPr>
    <w:rPr>
      <w:rFonts w:ascii="Arial" w:hAnsi="Arial" w:cs="Arial"/>
      <w:sz w:val="18"/>
    </w:rPr>
  </w:style>
  <w:style w:type="paragraph" w:customStyle="1" w:styleId="aaadejongAufzStrich">
    <w:name w:val="aaa_dejong_Aufz_Strich"/>
    <w:basedOn w:val="Standard"/>
    <w:autoRedefine/>
    <w:pPr>
      <w:widowControl/>
      <w:numPr>
        <w:numId w:val="6"/>
      </w:numPr>
      <w:tabs>
        <w:tab w:val="left" w:pos="851"/>
      </w:tabs>
      <w:ind w:left="1304" w:hanging="453"/>
      <w:jc w:val="both"/>
    </w:pPr>
    <w:rPr>
      <w:rFonts w:ascii="Arial" w:hAnsi="Arial" w:cs="Arial"/>
      <w:sz w:val="18"/>
    </w:rPr>
  </w:style>
  <w:style w:type="paragraph" w:customStyle="1" w:styleId="aaadejongfett">
    <w:name w:val="aaa_dejong_fett"/>
    <w:basedOn w:val="Standard"/>
    <w:autoRedefine/>
    <w:pPr>
      <w:tabs>
        <w:tab w:val="left" w:pos="851"/>
      </w:tabs>
      <w:ind w:left="709" w:hanging="709"/>
      <w:jc w:val="both"/>
    </w:pPr>
    <w:rPr>
      <w:rFonts w:ascii="Arial" w:hAnsi="Arial" w:cs="Arial"/>
      <w:b/>
      <w:sz w:val="18"/>
    </w:rPr>
  </w:style>
  <w:style w:type="character" w:customStyle="1" w:styleId="aaadejongfettZchn">
    <w:name w:val="aaa_dejong_fett Zchn"/>
    <w:rPr>
      <w:rFonts w:ascii="Arial" w:hAnsi="Arial" w:cs="Arial"/>
      <w:b/>
      <w:noProof w:val="0"/>
      <w:sz w:val="18"/>
      <w:lang w:val="de-DE" w:eastAsia="de-DE" w:bidi="ar-SA"/>
    </w:rPr>
  </w:style>
  <w:style w:type="paragraph" w:customStyle="1" w:styleId="Text">
    <w:name w:val="Text"/>
    <w:rsid w:val="000F3462"/>
    <w:pPr>
      <w:ind w:left="850"/>
    </w:pPr>
    <w:rPr>
      <w:rFonts w:ascii="Arial" w:hAnsi="Arial"/>
      <w:snapToGrid w:val="0"/>
      <w:color w:val="000000"/>
      <w:sz w:val="22"/>
    </w:rPr>
  </w:style>
  <w:style w:type="character" w:styleId="Hyperlink">
    <w:name w:val="Hyperlink"/>
    <w:rsid w:val="00B42841"/>
    <w:rPr>
      <w:color w:val="0563C1"/>
      <w:u w:val="single"/>
    </w:rPr>
  </w:style>
  <w:style w:type="character" w:styleId="NichtaufgelsteErwhnung">
    <w:name w:val="Unresolved Mention"/>
    <w:uiPriority w:val="99"/>
    <w:semiHidden/>
    <w:unhideWhenUsed/>
    <w:rsid w:val="00B42841"/>
    <w:rPr>
      <w:color w:val="605E5C"/>
      <w:shd w:val="clear" w:color="auto" w:fill="E1DFDD"/>
    </w:rPr>
  </w:style>
  <w:style w:type="paragraph" w:styleId="berarbeitung">
    <w:name w:val="Revision"/>
    <w:hidden/>
    <w:uiPriority w:val="99"/>
    <w:semiHidden/>
    <w:rsid w:val="00F129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1C223BB96C84F4E947FDAD2FC42D1FC" ma:contentTypeVersion="19" ma:contentTypeDescription="Ein neues Dokument erstellen." ma:contentTypeScope="" ma:versionID="5411bddc1ffaeb32ed4c16398bc270d7">
  <xsd:schema xmlns:xsd="http://www.w3.org/2001/XMLSchema" xmlns:xs="http://www.w3.org/2001/XMLSchema" xmlns:p="http://schemas.microsoft.com/office/2006/metadata/properties" xmlns:ns2="b5539286-5ee8-44bc-baa4-0e2ff02f6573" xmlns:ns3="7b005ea8-45a7-4705-82f0-6b1ce8aaff7b" targetNamespace="http://schemas.microsoft.com/office/2006/metadata/properties" ma:root="true" ma:fieldsID="118082f388260a828ebb2ab63cd88d0c" ns2:_="" ns3:_="">
    <xsd:import namespace="b5539286-5ee8-44bc-baa4-0e2ff02f6573"/>
    <xsd:import namespace="7b005ea8-45a7-4705-82f0-6b1ce8aaff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Or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539286-5ee8-44bc-baa4-0e2ff02f65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2510aa0-957d-4b1b-ad12-f5c24380f8c5" ma:termSetId="09814cd3-568e-fe90-9814-8d621ff8fb84" ma:anchorId="fba54fb3-c3e1-fe81-a776-ca4b69148c4d" ma:open="true" ma:isKeyword="false">
      <xsd:complexType>
        <xsd:sequence>
          <xsd:element ref="pc:Terms" minOccurs="0" maxOccurs="1"/>
        </xsd:sequence>
      </xsd:complexType>
    </xsd:element>
    <xsd:element name="Ort" ma:index="24" nillable="true" ma:displayName="Ort" ma:format="Dropdown" ma:internalName="Ort">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005ea8-45a7-4705-82f0-6b1ce8aaff7b"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91d73398-dc50-4b55-a3a1-aca659f7df72}" ma:internalName="TaxCatchAll" ma:showField="CatchAllData" ma:web="7b005ea8-45a7-4705-82f0-6b1ce8aaff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b005ea8-45a7-4705-82f0-6b1ce8aaff7b" xsi:nil="true"/>
    <lcf76f155ced4ddcb4097134ff3c332f xmlns="b5539286-5ee8-44bc-baa4-0e2ff02f6573">
      <Terms xmlns="http://schemas.microsoft.com/office/infopath/2007/PartnerControls"/>
    </lcf76f155ced4ddcb4097134ff3c332f>
    <Ort xmlns="b5539286-5ee8-44bc-baa4-0e2ff02f6573" xsi:nil="true"/>
  </documentManagement>
</p:properties>
</file>

<file path=customXml/itemProps1.xml><?xml version="1.0" encoding="utf-8"?>
<ds:datastoreItem xmlns:ds="http://schemas.openxmlformats.org/officeDocument/2006/customXml" ds:itemID="{58E012D5-6052-4C09-ADC3-904465B715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539286-5ee8-44bc-baa4-0e2ff02f6573"/>
    <ds:schemaRef ds:uri="7b005ea8-45a7-4705-82f0-6b1ce8aaf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5BD3FF-9610-4AA1-833B-842608DBF3B4}">
  <ds:schemaRefs>
    <ds:schemaRef ds:uri="http://schemas.microsoft.com/sharepoint/v3/contenttype/forms"/>
  </ds:schemaRefs>
</ds:datastoreItem>
</file>

<file path=customXml/itemProps3.xml><?xml version="1.0" encoding="utf-8"?>
<ds:datastoreItem xmlns:ds="http://schemas.openxmlformats.org/officeDocument/2006/customXml" ds:itemID="{889D2D82-6B6B-46FC-859B-C78578D73093}">
  <ds:schemaRefs>
    <ds:schemaRef ds:uri="http://schemas.microsoft.com/office/2006/metadata/properties"/>
    <ds:schemaRef ds:uri="http://schemas.microsoft.com/office/infopath/2007/PartnerControls"/>
    <ds:schemaRef ds:uri="7b005ea8-45a7-4705-82f0-6b1ce8aaff7b"/>
    <ds:schemaRef ds:uri="b5539286-5ee8-44bc-baa4-0e2ff02f657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4558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GDV</vt:lpstr>
    </vt:vector>
  </TitlesOfParts>
  <Company>GDV - Büro Hamburg</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GDV</dc:title>
  <dc:subject/>
  <dc:creator>GDV</dc:creator>
  <cp:keywords/>
  <cp:lastModifiedBy>Daniel Fritz</cp:lastModifiedBy>
  <cp:revision>3</cp:revision>
  <cp:lastPrinted>2025-03-13T13:55:00Z</cp:lastPrinted>
  <dcterms:created xsi:type="dcterms:W3CDTF">2025-03-13T13:55:00Z</dcterms:created>
  <dcterms:modified xsi:type="dcterms:W3CDTF">2025-03-13T13:56:00Z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0x01010001C223BB96C84F4E947FDAD2FC42D1FC</vt:lpwstr>
  </property>
</Properties>
</file>