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94BC" w14:textId="77777777" w:rsidR="0041174E" w:rsidRPr="00927373" w:rsidRDefault="0041174E" w:rsidP="0041174E">
      <w:pPr>
        <w:pStyle w:val="Kopfzeile"/>
        <w:jc w:val="center"/>
        <w:rPr>
          <w:rFonts w:ascii="Arial" w:hAnsi="Arial" w:cs="Arial"/>
        </w:rPr>
      </w:pPr>
    </w:p>
    <w:p w14:paraId="3CBFA6C5" w14:textId="77777777" w:rsidR="0041174E" w:rsidRPr="00927373" w:rsidRDefault="0041174E" w:rsidP="0041174E">
      <w:pPr>
        <w:pStyle w:val="Kopfzeile"/>
        <w:jc w:val="center"/>
        <w:rPr>
          <w:rFonts w:ascii="Arial" w:hAnsi="Arial" w:cs="Arial"/>
        </w:rPr>
      </w:pPr>
    </w:p>
    <w:p w14:paraId="1F6DAF6E" w14:textId="2219F6D4" w:rsidR="0041174E" w:rsidRPr="00EF2A56" w:rsidRDefault="0041174E" w:rsidP="0041174E">
      <w:pPr>
        <w:jc w:val="center"/>
        <w:rPr>
          <w:rFonts w:ascii="Arial" w:hAnsi="Arial"/>
          <w:b/>
          <w:sz w:val="28"/>
          <w:szCs w:val="28"/>
        </w:rPr>
      </w:pPr>
      <w:r w:rsidRPr="00EF2A56">
        <w:rPr>
          <w:rFonts w:ascii="Arial" w:hAnsi="Arial"/>
          <w:b/>
          <w:sz w:val="28"/>
          <w:szCs w:val="28"/>
        </w:rPr>
        <w:t xml:space="preserve">Klauseln zu den AVB Camping </w:t>
      </w:r>
      <w:r w:rsidR="00DB5B9F">
        <w:rPr>
          <w:rFonts w:ascii="Arial" w:hAnsi="Arial"/>
          <w:b/>
          <w:sz w:val="28"/>
          <w:szCs w:val="28"/>
        </w:rPr>
        <w:t>1985/2025</w:t>
      </w:r>
    </w:p>
    <w:p w14:paraId="4DEFDCF6" w14:textId="77777777" w:rsidR="0041174E" w:rsidRPr="00EF2A56" w:rsidRDefault="0041174E" w:rsidP="0041174E">
      <w:pPr>
        <w:jc w:val="center"/>
        <w:rPr>
          <w:rFonts w:ascii="Arial" w:hAnsi="Arial"/>
          <w:b/>
        </w:rPr>
      </w:pPr>
    </w:p>
    <w:p w14:paraId="05FCA695" w14:textId="10EEDC3D" w:rsidR="0041174E" w:rsidRPr="00EF2A56" w:rsidRDefault="0041174E" w:rsidP="0041174E">
      <w:pPr>
        <w:jc w:val="center"/>
        <w:rPr>
          <w:rFonts w:ascii="Arial" w:hAnsi="Arial"/>
          <w:b/>
          <w:sz w:val="24"/>
          <w:szCs w:val="24"/>
        </w:rPr>
      </w:pPr>
      <w:r w:rsidRPr="00EF2A56">
        <w:rPr>
          <w:rFonts w:ascii="Arial" w:hAnsi="Arial"/>
          <w:b/>
          <w:sz w:val="24"/>
          <w:szCs w:val="24"/>
        </w:rPr>
        <w:t xml:space="preserve">(Klauseln AVB Camping </w:t>
      </w:r>
      <w:r w:rsidR="00DB5B9F">
        <w:rPr>
          <w:rFonts w:ascii="Arial" w:hAnsi="Arial"/>
          <w:b/>
          <w:sz w:val="24"/>
          <w:szCs w:val="24"/>
        </w:rPr>
        <w:t>1985/2025</w:t>
      </w:r>
      <w:r w:rsidRPr="00EF2A56">
        <w:rPr>
          <w:rFonts w:ascii="Arial" w:hAnsi="Arial"/>
          <w:b/>
          <w:sz w:val="24"/>
          <w:szCs w:val="24"/>
        </w:rPr>
        <w:t>)</w:t>
      </w:r>
    </w:p>
    <w:p w14:paraId="488F541B" w14:textId="77777777" w:rsidR="0041174E" w:rsidRPr="00EF2A56" w:rsidRDefault="0041174E" w:rsidP="0041174E">
      <w:pPr>
        <w:jc w:val="center"/>
        <w:rPr>
          <w:rFonts w:ascii="Arial" w:hAnsi="Arial"/>
        </w:rPr>
      </w:pPr>
    </w:p>
    <w:p w14:paraId="3D9A6F91" w14:textId="77777777" w:rsidR="0041174E" w:rsidRPr="00EF2A56" w:rsidRDefault="0041174E" w:rsidP="0041174E">
      <w:pPr>
        <w:jc w:val="center"/>
        <w:rPr>
          <w:rFonts w:ascii="Arial" w:hAnsi="Arial"/>
        </w:rPr>
      </w:pPr>
    </w:p>
    <w:p w14:paraId="68B6ECC2" w14:textId="77777777" w:rsidR="0041174E" w:rsidRPr="00EF2A56" w:rsidRDefault="0041174E" w:rsidP="0041174E">
      <w:pPr>
        <w:jc w:val="center"/>
        <w:rPr>
          <w:rFonts w:ascii="Arial" w:hAnsi="Arial"/>
        </w:rPr>
      </w:pPr>
      <w:r w:rsidRPr="00EF2A56">
        <w:rPr>
          <w:rFonts w:ascii="Arial" w:hAnsi="Arial"/>
        </w:rPr>
        <w:t>Musterbedingungen des GDV</w:t>
      </w:r>
    </w:p>
    <w:p w14:paraId="4CA5BB92" w14:textId="77777777" w:rsidR="0041174E" w:rsidRPr="00EF2A56" w:rsidRDefault="0041174E" w:rsidP="0041174E">
      <w:pPr>
        <w:jc w:val="center"/>
        <w:rPr>
          <w:rFonts w:ascii="Arial" w:hAnsi="Arial"/>
          <w:b/>
        </w:rPr>
      </w:pPr>
    </w:p>
    <w:p w14:paraId="0D19BBDD" w14:textId="77777777" w:rsidR="0041174E" w:rsidRPr="00EF2A56" w:rsidRDefault="0041174E" w:rsidP="0041174E">
      <w:pPr>
        <w:ind w:left="992" w:hanging="992"/>
        <w:jc w:val="center"/>
        <w:rPr>
          <w:rFonts w:ascii="Arial" w:hAnsi="Arial" w:cs="Arial"/>
        </w:rPr>
      </w:pPr>
    </w:p>
    <w:p w14:paraId="2F48CF60" w14:textId="77777777" w:rsidR="0041174E" w:rsidRPr="00EF2A56" w:rsidRDefault="0041174E" w:rsidP="0041174E">
      <w:pPr>
        <w:ind w:left="992" w:hanging="992"/>
        <w:jc w:val="center"/>
        <w:rPr>
          <w:rFonts w:ascii="Arial" w:hAnsi="Arial" w:cs="Arial"/>
          <w:b/>
          <w:sz w:val="18"/>
        </w:rPr>
      </w:pPr>
    </w:p>
    <w:p w14:paraId="1748514C" w14:textId="77777777" w:rsidR="003709CF" w:rsidRPr="00EF2A56" w:rsidRDefault="003709CF" w:rsidP="00773A6C">
      <w:pPr>
        <w:tabs>
          <w:tab w:val="left" w:pos="567"/>
        </w:tabs>
        <w:ind w:left="567" w:hanging="567"/>
        <w:jc w:val="both"/>
        <w:rPr>
          <w:rFonts w:ascii="Arial" w:hAnsi="Arial"/>
        </w:rPr>
        <w:sectPr w:rsidR="003709CF" w:rsidRPr="00EF2A56" w:rsidSect="0041174E"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1907" w:h="16840" w:code="9"/>
          <w:pgMar w:top="1066" w:right="850" w:bottom="567" w:left="850" w:header="357" w:footer="351" w:gutter="0"/>
          <w:pgNumType w:start="1"/>
          <w:cols w:space="737"/>
          <w:noEndnote/>
          <w:titlePg/>
          <w:docGrid w:linePitch="272"/>
        </w:sectPr>
      </w:pPr>
    </w:p>
    <w:p w14:paraId="4C6385A8" w14:textId="77777777" w:rsidR="0041174E" w:rsidRPr="00EF2A56" w:rsidRDefault="0041174E" w:rsidP="0041174E">
      <w:pPr>
        <w:keepNext/>
        <w:tabs>
          <w:tab w:val="left" w:pos="567"/>
          <w:tab w:val="left" w:pos="840"/>
          <w:tab w:val="left" w:pos="1056"/>
        </w:tabs>
        <w:spacing w:after="100"/>
        <w:ind w:left="567" w:hanging="567"/>
        <w:jc w:val="both"/>
        <w:rPr>
          <w:rFonts w:ascii="Arial" w:hAnsi="Arial"/>
          <w:b/>
          <w:sz w:val="18"/>
        </w:rPr>
      </w:pPr>
      <w:r w:rsidRPr="00EF2A56">
        <w:rPr>
          <w:rFonts w:ascii="Arial" w:hAnsi="Arial"/>
          <w:b/>
          <w:sz w:val="18"/>
        </w:rPr>
        <w:t>Klausel 1</w:t>
      </w:r>
      <w:r w:rsidRPr="00EF2A56">
        <w:rPr>
          <w:rFonts w:ascii="Arial" w:hAnsi="Arial"/>
          <w:b/>
          <w:sz w:val="18"/>
        </w:rPr>
        <w:tab/>
      </w:r>
      <w:r w:rsidR="003104A3" w:rsidRPr="00EF2A56">
        <w:rPr>
          <w:rFonts w:ascii="Arial" w:hAnsi="Arial"/>
          <w:b/>
          <w:sz w:val="18"/>
        </w:rPr>
        <w:t>–</w:t>
      </w:r>
      <w:r w:rsidRPr="00EF2A56">
        <w:rPr>
          <w:rFonts w:ascii="Arial" w:hAnsi="Arial"/>
          <w:b/>
          <w:sz w:val="18"/>
        </w:rPr>
        <w:tab/>
      </w:r>
      <w:r w:rsidR="003104A3" w:rsidRPr="00EF2A56">
        <w:rPr>
          <w:rFonts w:ascii="Arial" w:hAnsi="Arial"/>
          <w:b/>
          <w:sz w:val="18"/>
        </w:rPr>
        <w:t>Summenanpassung</w:t>
      </w:r>
    </w:p>
    <w:p w14:paraId="210B6EF3" w14:textId="77777777" w:rsidR="0041174E" w:rsidRPr="00EF2A56" w:rsidRDefault="003104A3" w:rsidP="0041174E">
      <w:pPr>
        <w:spacing w:after="100"/>
        <w:ind w:left="1055" w:hanging="204"/>
        <w:jc w:val="both"/>
        <w:rPr>
          <w:rFonts w:ascii="Arial" w:hAnsi="Arial"/>
          <w:sz w:val="18"/>
        </w:rPr>
      </w:pPr>
      <w:r w:rsidRPr="00EF2A56">
        <w:rPr>
          <w:rFonts w:ascii="Arial" w:hAnsi="Arial"/>
          <w:sz w:val="18"/>
        </w:rPr>
        <w:t>1</w:t>
      </w:r>
      <w:r w:rsidRPr="00EF2A56">
        <w:rPr>
          <w:rFonts w:ascii="Arial" w:hAnsi="Arial"/>
          <w:sz w:val="18"/>
        </w:rPr>
        <w:tab/>
        <w:t>Zur Anpassung an Wertänderungen der vers</w:t>
      </w:r>
      <w:r w:rsidRPr="00EF2A56">
        <w:rPr>
          <w:rFonts w:ascii="Arial" w:hAnsi="Arial"/>
          <w:sz w:val="18"/>
        </w:rPr>
        <w:t>i</w:t>
      </w:r>
      <w:r w:rsidRPr="00EF2A56">
        <w:rPr>
          <w:rFonts w:ascii="Arial" w:hAnsi="Arial"/>
          <w:sz w:val="18"/>
        </w:rPr>
        <w:t>cherten Sachen erhöht oder vermindert sich die Versicherungssumme mit Beginn eines j</w:t>
      </w:r>
      <w:r w:rsidRPr="00EF2A56">
        <w:rPr>
          <w:rFonts w:ascii="Arial" w:hAnsi="Arial"/>
          <w:sz w:val="18"/>
        </w:rPr>
        <w:t>e</w:t>
      </w:r>
      <w:r w:rsidRPr="00EF2A56">
        <w:rPr>
          <w:rFonts w:ascii="Arial" w:hAnsi="Arial"/>
          <w:sz w:val="18"/>
        </w:rPr>
        <w:t>den Versicherungsjahres entsprechend dem Prozentsatz, um den sich der Preisindex für „Andere Verbrauchs- und Gebrauchsgüter o</w:t>
      </w:r>
      <w:r w:rsidRPr="00EF2A56">
        <w:rPr>
          <w:rFonts w:ascii="Arial" w:hAnsi="Arial"/>
          <w:sz w:val="18"/>
        </w:rPr>
        <w:t>h</w:t>
      </w:r>
      <w:r w:rsidRPr="00EF2A56">
        <w:rPr>
          <w:rFonts w:ascii="Arial" w:hAnsi="Arial"/>
          <w:sz w:val="18"/>
        </w:rPr>
        <w:t>ne Nahrungsmittel und ohne normalerweise nicht in der Wohnung gelagerte Güter“ aus dem Preisindex der Lebenshaltungskosten a</w:t>
      </w:r>
      <w:r w:rsidRPr="00EF2A56">
        <w:rPr>
          <w:rFonts w:ascii="Arial" w:hAnsi="Arial"/>
          <w:sz w:val="18"/>
        </w:rPr>
        <w:t>l</w:t>
      </w:r>
      <w:r w:rsidRPr="00EF2A56">
        <w:rPr>
          <w:rFonts w:ascii="Arial" w:hAnsi="Arial"/>
          <w:sz w:val="18"/>
        </w:rPr>
        <w:t>ler privaten Haushalte im vergangenen Kale</w:t>
      </w:r>
      <w:r w:rsidRPr="00EF2A56">
        <w:rPr>
          <w:rFonts w:ascii="Arial" w:hAnsi="Arial"/>
          <w:sz w:val="18"/>
        </w:rPr>
        <w:t>n</w:t>
      </w:r>
      <w:r w:rsidRPr="00EF2A56">
        <w:rPr>
          <w:rFonts w:ascii="Arial" w:hAnsi="Arial"/>
          <w:sz w:val="18"/>
        </w:rPr>
        <w:t>derjahr gegenüber dem davor liegenden K</w:t>
      </w:r>
      <w:r w:rsidRPr="00EF2A56">
        <w:rPr>
          <w:rFonts w:ascii="Arial" w:hAnsi="Arial"/>
          <w:sz w:val="18"/>
        </w:rPr>
        <w:t>a</w:t>
      </w:r>
      <w:r w:rsidRPr="00EF2A56">
        <w:rPr>
          <w:rFonts w:ascii="Arial" w:hAnsi="Arial"/>
          <w:sz w:val="18"/>
        </w:rPr>
        <w:t>lenderjahr verändert hat. Der Veränderung</w:t>
      </w:r>
      <w:r w:rsidRPr="00EF2A56">
        <w:rPr>
          <w:rFonts w:ascii="Arial" w:hAnsi="Arial"/>
          <w:sz w:val="18"/>
        </w:rPr>
        <w:t>s</w:t>
      </w:r>
      <w:r w:rsidRPr="00EF2A56">
        <w:rPr>
          <w:rFonts w:ascii="Arial" w:hAnsi="Arial"/>
          <w:sz w:val="18"/>
        </w:rPr>
        <w:t>prozentsatz wird auf eine ganze Zahl abg</w:t>
      </w:r>
      <w:r w:rsidRPr="00EF2A56">
        <w:rPr>
          <w:rFonts w:ascii="Arial" w:hAnsi="Arial"/>
          <w:sz w:val="18"/>
        </w:rPr>
        <w:t>e</w:t>
      </w:r>
      <w:r w:rsidRPr="00EF2A56">
        <w:rPr>
          <w:rFonts w:ascii="Arial" w:hAnsi="Arial"/>
          <w:sz w:val="18"/>
        </w:rPr>
        <w:t>rundet. Maßgebend ist der vom Statistischen Bundesamt jeweils für den Monat September veröffent</w:t>
      </w:r>
      <w:r w:rsidR="00927373" w:rsidRPr="00EF2A56">
        <w:rPr>
          <w:rFonts w:ascii="Arial" w:hAnsi="Arial"/>
          <w:sz w:val="18"/>
        </w:rPr>
        <w:t>lichte Index.</w:t>
      </w:r>
    </w:p>
    <w:p w14:paraId="4EAC2FDA" w14:textId="77777777" w:rsidR="0041174E" w:rsidRPr="00EF2A56" w:rsidRDefault="003104A3" w:rsidP="0041174E">
      <w:pPr>
        <w:spacing w:after="100"/>
        <w:ind w:left="1055" w:hanging="204"/>
        <w:jc w:val="both"/>
        <w:rPr>
          <w:rFonts w:ascii="Arial" w:hAnsi="Arial"/>
          <w:sz w:val="18"/>
        </w:rPr>
      </w:pPr>
      <w:r w:rsidRPr="00EF2A56">
        <w:rPr>
          <w:rFonts w:ascii="Arial" w:hAnsi="Arial"/>
          <w:sz w:val="18"/>
        </w:rPr>
        <w:tab/>
        <w:t>Die Versicherungssumme bleibt unverändert, wenn der maßgebende Prozentsatz unter ... liegt. Jedoch ist dann für die nächste Veränd</w:t>
      </w:r>
      <w:r w:rsidRPr="00EF2A56">
        <w:rPr>
          <w:rFonts w:ascii="Arial" w:hAnsi="Arial"/>
          <w:sz w:val="18"/>
        </w:rPr>
        <w:t>e</w:t>
      </w:r>
      <w:r w:rsidRPr="00EF2A56">
        <w:rPr>
          <w:rFonts w:ascii="Arial" w:hAnsi="Arial"/>
          <w:sz w:val="18"/>
        </w:rPr>
        <w:t>rung ein Vergleich zwischen dem vergangenen Kalenderjahr und demjenigen Kalenderjahr maßgebend das zuletzt für eine Summenä</w:t>
      </w:r>
      <w:r w:rsidRPr="00EF2A56">
        <w:rPr>
          <w:rFonts w:ascii="Arial" w:hAnsi="Arial"/>
          <w:sz w:val="18"/>
        </w:rPr>
        <w:t>n</w:t>
      </w:r>
      <w:r w:rsidRPr="00EF2A56">
        <w:rPr>
          <w:rFonts w:ascii="Arial" w:hAnsi="Arial"/>
          <w:sz w:val="18"/>
        </w:rPr>
        <w:t>derung berücksichtigt wurde.</w:t>
      </w:r>
    </w:p>
    <w:p w14:paraId="3EB4944A" w14:textId="77777777" w:rsidR="0041174E" w:rsidRPr="00EF2A56" w:rsidRDefault="003104A3" w:rsidP="0041174E">
      <w:pPr>
        <w:spacing w:after="100"/>
        <w:ind w:left="1055" w:hanging="204"/>
        <w:jc w:val="both"/>
        <w:rPr>
          <w:rFonts w:ascii="Arial" w:hAnsi="Arial"/>
          <w:sz w:val="18"/>
        </w:rPr>
      </w:pPr>
      <w:r w:rsidRPr="00EF2A56">
        <w:rPr>
          <w:rFonts w:ascii="Arial" w:hAnsi="Arial"/>
          <w:sz w:val="18"/>
        </w:rPr>
        <w:tab/>
        <w:t>Die neue Versicherungssumme wird auf volle ............ Euro aufgerundet und dem Versich</w:t>
      </w:r>
      <w:r w:rsidRPr="00EF2A56">
        <w:rPr>
          <w:rFonts w:ascii="Arial" w:hAnsi="Arial"/>
          <w:sz w:val="18"/>
        </w:rPr>
        <w:t>e</w:t>
      </w:r>
      <w:r w:rsidRPr="00EF2A56">
        <w:rPr>
          <w:rFonts w:ascii="Arial" w:hAnsi="Arial"/>
          <w:sz w:val="18"/>
        </w:rPr>
        <w:t>rungsnehmer bekanntgegeben. Die Prämie, die nicht höher sein darf als die zur Zeit der Anpassung ge</w:t>
      </w:r>
      <w:r w:rsidRPr="00EF2A56">
        <w:rPr>
          <w:rFonts w:ascii="Arial" w:hAnsi="Arial"/>
          <w:sz w:val="18"/>
        </w:rPr>
        <w:t>l</w:t>
      </w:r>
      <w:r w:rsidRPr="00EF2A56">
        <w:rPr>
          <w:rFonts w:ascii="Arial" w:hAnsi="Arial"/>
          <w:sz w:val="18"/>
        </w:rPr>
        <w:t>tende Tarifprämie, wird aus der neuen Versicherung</w:t>
      </w:r>
      <w:r w:rsidRPr="00EF2A56">
        <w:rPr>
          <w:rFonts w:ascii="Arial" w:hAnsi="Arial"/>
          <w:sz w:val="18"/>
        </w:rPr>
        <w:t>s</w:t>
      </w:r>
      <w:r w:rsidRPr="00EF2A56">
        <w:rPr>
          <w:rFonts w:ascii="Arial" w:hAnsi="Arial"/>
          <w:sz w:val="18"/>
        </w:rPr>
        <w:t>summe berechnet.</w:t>
      </w:r>
    </w:p>
    <w:p w14:paraId="30A9A969" w14:textId="77777777" w:rsidR="0041174E" w:rsidRPr="00EF2A56" w:rsidRDefault="003104A3" w:rsidP="0041174E">
      <w:pPr>
        <w:spacing w:after="100"/>
        <w:ind w:left="1055" w:hanging="204"/>
        <w:jc w:val="both"/>
        <w:rPr>
          <w:rFonts w:ascii="Arial" w:hAnsi="Arial"/>
          <w:sz w:val="18"/>
        </w:rPr>
      </w:pPr>
      <w:r w:rsidRPr="00EF2A56">
        <w:rPr>
          <w:rFonts w:ascii="Arial" w:hAnsi="Arial"/>
          <w:sz w:val="18"/>
        </w:rPr>
        <w:t>2</w:t>
      </w:r>
      <w:r w:rsidRPr="00EF2A56">
        <w:rPr>
          <w:rFonts w:ascii="Arial" w:hAnsi="Arial"/>
          <w:sz w:val="18"/>
        </w:rPr>
        <w:tab/>
        <w:t>Erhöhungen des Versicherungswertes durch Preissteigerungen nach Vertragsabschluss gelten durch die Anpassung der Versich</w:t>
      </w:r>
      <w:r w:rsidRPr="00EF2A56">
        <w:rPr>
          <w:rFonts w:ascii="Arial" w:hAnsi="Arial"/>
          <w:sz w:val="18"/>
        </w:rPr>
        <w:t>e</w:t>
      </w:r>
      <w:r w:rsidRPr="00EF2A56">
        <w:rPr>
          <w:rFonts w:ascii="Arial" w:hAnsi="Arial"/>
          <w:sz w:val="18"/>
        </w:rPr>
        <w:t>rungssumme als ausgeglichen. Der Versich</w:t>
      </w:r>
      <w:r w:rsidRPr="00EF2A56">
        <w:rPr>
          <w:rFonts w:ascii="Arial" w:hAnsi="Arial"/>
          <w:sz w:val="18"/>
        </w:rPr>
        <w:t>e</w:t>
      </w:r>
      <w:r w:rsidRPr="00EF2A56">
        <w:rPr>
          <w:rFonts w:ascii="Arial" w:hAnsi="Arial"/>
          <w:sz w:val="18"/>
        </w:rPr>
        <w:t>rungsnehmer kann innerhalb eines Monats nach Zugang der Mitteilung über die ang</w:t>
      </w:r>
      <w:r w:rsidRPr="00EF2A56">
        <w:rPr>
          <w:rFonts w:ascii="Arial" w:hAnsi="Arial"/>
          <w:sz w:val="18"/>
        </w:rPr>
        <w:t>e</w:t>
      </w:r>
      <w:r w:rsidRPr="00EF2A56">
        <w:rPr>
          <w:rFonts w:ascii="Arial" w:hAnsi="Arial"/>
          <w:sz w:val="18"/>
        </w:rPr>
        <w:t>passte Vers</w:t>
      </w:r>
      <w:r w:rsidRPr="00EF2A56">
        <w:rPr>
          <w:rFonts w:ascii="Arial" w:hAnsi="Arial"/>
          <w:sz w:val="18"/>
        </w:rPr>
        <w:t>i</w:t>
      </w:r>
      <w:r w:rsidRPr="00EF2A56">
        <w:rPr>
          <w:rFonts w:ascii="Arial" w:hAnsi="Arial"/>
          <w:sz w:val="18"/>
        </w:rPr>
        <w:t xml:space="preserve">cherungssumme durch Erklärung </w:t>
      </w:r>
      <w:r w:rsidR="00AF7F60" w:rsidRPr="00EF2A56">
        <w:rPr>
          <w:rFonts w:ascii="Arial" w:hAnsi="Arial"/>
          <w:sz w:val="18"/>
        </w:rPr>
        <w:t xml:space="preserve"> in Textform </w:t>
      </w:r>
      <w:r w:rsidRPr="00EF2A56">
        <w:rPr>
          <w:rFonts w:ascii="Arial" w:hAnsi="Arial"/>
          <w:sz w:val="18"/>
        </w:rPr>
        <w:t>verlangen, dass die Bestimmu</w:t>
      </w:r>
      <w:r w:rsidRPr="00EF2A56">
        <w:rPr>
          <w:rFonts w:ascii="Arial" w:hAnsi="Arial"/>
          <w:sz w:val="18"/>
        </w:rPr>
        <w:t>n</w:t>
      </w:r>
      <w:r w:rsidRPr="00EF2A56">
        <w:rPr>
          <w:rFonts w:ascii="Arial" w:hAnsi="Arial"/>
          <w:sz w:val="18"/>
        </w:rPr>
        <w:t>gen über die Summenanpassung künftig nicht mehr anzuwenden sind. Die Erklärung gilt für den Zeitpunkt, in dem die A</w:t>
      </w:r>
      <w:r w:rsidRPr="00EF2A56">
        <w:rPr>
          <w:rFonts w:ascii="Arial" w:hAnsi="Arial"/>
          <w:sz w:val="18"/>
        </w:rPr>
        <w:t>n</w:t>
      </w:r>
      <w:r w:rsidRPr="00EF2A56">
        <w:rPr>
          <w:rFonts w:ascii="Arial" w:hAnsi="Arial"/>
          <w:sz w:val="18"/>
        </w:rPr>
        <w:t>passung wirksam werden sollte. Die Versicherung bleibt dann mit der letztgültigen Versicherungssumme b</w:t>
      </w:r>
      <w:r w:rsidRPr="00EF2A56">
        <w:rPr>
          <w:rFonts w:ascii="Arial" w:hAnsi="Arial"/>
          <w:sz w:val="18"/>
        </w:rPr>
        <w:t>e</w:t>
      </w:r>
      <w:r w:rsidRPr="00EF2A56">
        <w:rPr>
          <w:rFonts w:ascii="Arial" w:hAnsi="Arial"/>
          <w:sz w:val="18"/>
        </w:rPr>
        <w:t>stehen.</w:t>
      </w:r>
    </w:p>
    <w:p w14:paraId="77D4E267" w14:textId="77777777" w:rsidR="00B5106F" w:rsidRPr="00EF2A56" w:rsidRDefault="003104A3" w:rsidP="0041174E">
      <w:pPr>
        <w:spacing w:after="100"/>
        <w:ind w:left="1055" w:hanging="204"/>
        <w:jc w:val="both"/>
        <w:rPr>
          <w:rFonts w:ascii="Arial" w:hAnsi="Arial"/>
          <w:sz w:val="18"/>
        </w:rPr>
      </w:pPr>
      <w:r w:rsidRPr="00EF2A56">
        <w:rPr>
          <w:rFonts w:ascii="Arial" w:hAnsi="Arial"/>
          <w:sz w:val="18"/>
        </w:rPr>
        <w:t>3</w:t>
      </w:r>
      <w:r w:rsidRPr="00EF2A56">
        <w:rPr>
          <w:rFonts w:ascii="Arial" w:hAnsi="Arial"/>
          <w:sz w:val="18"/>
        </w:rPr>
        <w:tab/>
        <w:t>Das Recht auf Herabsetzung der Versich</w:t>
      </w:r>
      <w:r w:rsidRPr="00EF2A56">
        <w:rPr>
          <w:rFonts w:ascii="Arial" w:hAnsi="Arial"/>
          <w:sz w:val="18"/>
        </w:rPr>
        <w:t>e</w:t>
      </w:r>
      <w:r w:rsidRPr="00EF2A56">
        <w:rPr>
          <w:rFonts w:ascii="Arial" w:hAnsi="Arial"/>
          <w:sz w:val="18"/>
        </w:rPr>
        <w:t>rungssumme wegen erheblicher Überversich</w:t>
      </w:r>
      <w:r w:rsidRPr="00EF2A56">
        <w:rPr>
          <w:rFonts w:ascii="Arial" w:hAnsi="Arial"/>
          <w:sz w:val="18"/>
        </w:rPr>
        <w:t>e</w:t>
      </w:r>
      <w:r w:rsidRPr="00EF2A56">
        <w:rPr>
          <w:rFonts w:ascii="Arial" w:hAnsi="Arial"/>
          <w:sz w:val="18"/>
        </w:rPr>
        <w:t>rung (Zi</w:t>
      </w:r>
      <w:r w:rsidRPr="00EF2A56">
        <w:rPr>
          <w:rFonts w:ascii="Arial" w:hAnsi="Arial"/>
          <w:sz w:val="18"/>
        </w:rPr>
        <w:t>f</w:t>
      </w:r>
      <w:r w:rsidRPr="00EF2A56">
        <w:rPr>
          <w:rFonts w:ascii="Arial" w:hAnsi="Arial"/>
          <w:sz w:val="18"/>
        </w:rPr>
        <w:t>fer 10 AVB Camping) bleibt unberührt.</w:t>
      </w:r>
    </w:p>
    <w:p w14:paraId="3CFE91A3" w14:textId="77777777" w:rsidR="0041174E" w:rsidRPr="00EF2A56" w:rsidRDefault="00B5106F" w:rsidP="00B5106F">
      <w:pPr>
        <w:keepNext/>
        <w:tabs>
          <w:tab w:val="left" w:pos="567"/>
          <w:tab w:val="left" w:pos="840"/>
          <w:tab w:val="left" w:pos="1056"/>
        </w:tabs>
        <w:spacing w:after="100"/>
        <w:ind w:left="567" w:hanging="567"/>
        <w:jc w:val="both"/>
        <w:rPr>
          <w:rFonts w:ascii="Arial" w:hAnsi="Arial"/>
          <w:b/>
          <w:sz w:val="18"/>
        </w:rPr>
      </w:pPr>
      <w:r w:rsidRPr="00EF2A56">
        <w:rPr>
          <w:rFonts w:ascii="Arial" w:hAnsi="Arial"/>
          <w:sz w:val="18"/>
        </w:rPr>
        <w:br w:type="column"/>
      </w:r>
      <w:r w:rsidR="003104A3" w:rsidRPr="00EF2A56">
        <w:rPr>
          <w:rFonts w:ascii="Arial" w:hAnsi="Arial"/>
          <w:b/>
          <w:sz w:val="18"/>
        </w:rPr>
        <w:t>Klausel 2</w:t>
      </w:r>
      <w:r w:rsidR="0041174E" w:rsidRPr="00EF2A56">
        <w:rPr>
          <w:rFonts w:ascii="Arial" w:hAnsi="Arial"/>
          <w:b/>
          <w:sz w:val="18"/>
        </w:rPr>
        <w:tab/>
      </w:r>
      <w:r w:rsidR="003104A3" w:rsidRPr="00EF2A56">
        <w:rPr>
          <w:rFonts w:ascii="Arial" w:hAnsi="Arial"/>
          <w:b/>
          <w:sz w:val="18"/>
        </w:rPr>
        <w:t>–</w:t>
      </w:r>
      <w:r w:rsidR="0041174E" w:rsidRPr="00EF2A56">
        <w:rPr>
          <w:rFonts w:ascii="Arial" w:hAnsi="Arial"/>
          <w:b/>
          <w:sz w:val="18"/>
        </w:rPr>
        <w:tab/>
      </w:r>
      <w:r w:rsidR="003104A3" w:rsidRPr="00EF2A56">
        <w:rPr>
          <w:rFonts w:ascii="Arial" w:hAnsi="Arial"/>
          <w:b/>
          <w:sz w:val="18"/>
        </w:rPr>
        <w:t>Leitungswasservers</w:t>
      </w:r>
      <w:r w:rsidR="003104A3" w:rsidRPr="00EF2A56">
        <w:rPr>
          <w:rFonts w:ascii="Arial" w:hAnsi="Arial"/>
          <w:b/>
          <w:sz w:val="18"/>
        </w:rPr>
        <w:t>i</w:t>
      </w:r>
      <w:r w:rsidR="003104A3" w:rsidRPr="00EF2A56">
        <w:rPr>
          <w:rFonts w:ascii="Arial" w:hAnsi="Arial"/>
          <w:b/>
          <w:sz w:val="18"/>
        </w:rPr>
        <w:t>cherung</w:t>
      </w:r>
    </w:p>
    <w:p w14:paraId="0D25FCC0" w14:textId="77777777" w:rsidR="0041174E" w:rsidRPr="00EF2A56" w:rsidRDefault="0041174E" w:rsidP="0041174E">
      <w:pPr>
        <w:spacing w:after="100"/>
        <w:ind w:left="1055" w:hanging="204"/>
        <w:jc w:val="both"/>
        <w:rPr>
          <w:rFonts w:ascii="Arial" w:hAnsi="Arial"/>
          <w:sz w:val="18"/>
        </w:rPr>
      </w:pPr>
      <w:r w:rsidRPr="00EF2A56">
        <w:rPr>
          <w:rFonts w:ascii="Arial" w:hAnsi="Arial"/>
          <w:sz w:val="18"/>
        </w:rPr>
        <w:t>1</w:t>
      </w:r>
      <w:r w:rsidR="003104A3" w:rsidRPr="00EF2A56">
        <w:rPr>
          <w:rFonts w:ascii="Arial" w:hAnsi="Arial"/>
          <w:sz w:val="18"/>
        </w:rPr>
        <w:tab/>
        <w:t>Ergänzend zu Ziffer 2 besteht Versicherung</w:t>
      </w:r>
      <w:r w:rsidR="003104A3" w:rsidRPr="00EF2A56">
        <w:rPr>
          <w:rFonts w:ascii="Arial" w:hAnsi="Arial"/>
          <w:sz w:val="18"/>
        </w:rPr>
        <w:t>s</w:t>
      </w:r>
      <w:r w:rsidR="003104A3" w:rsidRPr="00EF2A56">
        <w:rPr>
          <w:rFonts w:ascii="Arial" w:hAnsi="Arial"/>
          <w:sz w:val="18"/>
        </w:rPr>
        <w:t>schutz auch für Le</w:t>
      </w:r>
      <w:r w:rsidR="003104A3" w:rsidRPr="00EF2A56">
        <w:rPr>
          <w:rFonts w:ascii="Arial" w:hAnsi="Arial"/>
          <w:sz w:val="18"/>
        </w:rPr>
        <w:t>i</w:t>
      </w:r>
      <w:r w:rsidR="003104A3" w:rsidRPr="00EF2A56">
        <w:rPr>
          <w:rFonts w:ascii="Arial" w:hAnsi="Arial"/>
          <w:sz w:val="18"/>
        </w:rPr>
        <w:t>tungswasserschaden.</w:t>
      </w:r>
    </w:p>
    <w:p w14:paraId="055DFFC3" w14:textId="77777777" w:rsidR="0041174E" w:rsidRPr="00EF2A56" w:rsidRDefault="003104A3" w:rsidP="0041174E">
      <w:pPr>
        <w:spacing w:after="100"/>
        <w:ind w:left="1055" w:hanging="204"/>
        <w:jc w:val="both"/>
        <w:rPr>
          <w:rFonts w:ascii="Arial" w:hAnsi="Arial"/>
          <w:sz w:val="18"/>
        </w:rPr>
      </w:pPr>
      <w:r w:rsidRPr="00EF2A56">
        <w:rPr>
          <w:rFonts w:ascii="Arial" w:hAnsi="Arial"/>
          <w:sz w:val="18"/>
        </w:rPr>
        <w:t>2</w:t>
      </w:r>
      <w:r w:rsidRPr="00EF2A56">
        <w:rPr>
          <w:rFonts w:ascii="Arial" w:hAnsi="Arial"/>
          <w:sz w:val="18"/>
        </w:rPr>
        <w:tab/>
        <w:t>Als Leitungswasser im Sinne dieser Bedi</w:t>
      </w:r>
      <w:r w:rsidRPr="00EF2A56">
        <w:rPr>
          <w:rFonts w:ascii="Arial" w:hAnsi="Arial"/>
          <w:sz w:val="18"/>
        </w:rPr>
        <w:t>n</w:t>
      </w:r>
      <w:r w:rsidRPr="00EF2A56">
        <w:rPr>
          <w:rFonts w:ascii="Arial" w:hAnsi="Arial"/>
          <w:sz w:val="18"/>
        </w:rPr>
        <w:t>gungen gilt Wasser, das aus den Zu- oder A</w:t>
      </w:r>
      <w:r w:rsidRPr="00EF2A56">
        <w:rPr>
          <w:rFonts w:ascii="Arial" w:hAnsi="Arial"/>
          <w:sz w:val="18"/>
        </w:rPr>
        <w:t>b</w:t>
      </w:r>
      <w:r w:rsidRPr="00EF2A56">
        <w:rPr>
          <w:rFonts w:ascii="Arial" w:hAnsi="Arial"/>
          <w:sz w:val="18"/>
        </w:rPr>
        <w:t>leitungsröhren der Wasserversorgung oder den sonstigen mit dem Rohrsystem verbund</w:t>
      </w:r>
      <w:r w:rsidRPr="00EF2A56">
        <w:rPr>
          <w:rFonts w:ascii="Arial" w:hAnsi="Arial"/>
          <w:sz w:val="18"/>
        </w:rPr>
        <w:t>e</w:t>
      </w:r>
      <w:r w:rsidRPr="00EF2A56">
        <w:rPr>
          <w:rFonts w:ascii="Arial" w:hAnsi="Arial"/>
          <w:sz w:val="18"/>
        </w:rPr>
        <w:t>nen Einrichtungen bestimmungswidrig ausg</w:t>
      </w:r>
      <w:r w:rsidRPr="00EF2A56">
        <w:rPr>
          <w:rFonts w:ascii="Arial" w:hAnsi="Arial"/>
          <w:sz w:val="18"/>
        </w:rPr>
        <w:t>e</w:t>
      </w:r>
      <w:r w:rsidRPr="00EF2A56">
        <w:rPr>
          <w:rFonts w:ascii="Arial" w:hAnsi="Arial"/>
          <w:sz w:val="18"/>
        </w:rPr>
        <w:t>treten ist.</w:t>
      </w:r>
    </w:p>
    <w:p w14:paraId="02297D30" w14:textId="77777777" w:rsidR="0041174E" w:rsidRPr="00EF2A56" w:rsidRDefault="003104A3" w:rsidP="0041174E">
      <w:pPr>
        <w:spacing w:after="100"/>
        <w:ind w:left="1055" w:hanging="204"/>
        <w:jc w:val="both"/>
        <w:rPr>
          <w:rFonts w:ascii="Arial" w:hAnsi="Arial"/>
          <w:sz w:val="18"/>
        </w:rPr>
      </w:pPr>
      <w:r w:rsidRPr="00EF2A56">
        <w:rPr>
          <w:rFonts w:ascii="Arial" w:hAnsi="Arial"/>
          <w:sz w:val="18"/>
        </w:rPr>
        <w:t>3</w:t>
      </w:r>
      <w:r w:rsidRPr="00EF2A56">
        <w:rPr>
          <w:rFonts w:ascii="Arial" w:hAnsi="Arial"/>
          <w:sz w:val="18"/>
        </w:rPr>
        <w:tab/>
        <w:t>Der Versicherungsschutz erstreckt sich nicht auf Schäden, die veru</w:t>
      </w:r>
      <w:r w:rsidRPr="00EF2A56">
        <w:rPr>
          <w:rFonts w:ascii="Arial" w:hAnsi="Arial"/>
          <w:sz w:val="18"/>
        </w:rPr>
        <w:t>r</w:t>
      </w:r>
      <w:r w:rsidRPr="00EF2A56">
        <w:rPr>
          <w:rFonts w:ascii="Arial" w:hAnsi="Arial"/>
          <w:sz w:val="18"/>
        </w:rPr>
        <w:t>sacht werden durch</w:t>
      </w:r>
    </w:p>
    <w:p w14:paraId="0CB44766" w14:textId="77777777" w:rsidR="0041174E" w:rsidRPr="00EF2A56" w:rsidRDefault="003104A3" w:rsidP="00B5106F">
      <w:pPr>
        <w:spacing w:after="100"/>
        <w:ind w:left="1304" w:hanging="249"/>
        <w:jc w:val="both"/>
        <w:rPr>
          <w:rFonts w:ascii="Arial" w:hAnsi="Arial"/>
          <w:sz w:val="18"/>
        </w:rPr>
      </w:pPr>
      <w:r w:rsidRPr="00EF2A56">
        <w:rPr>
          <w:rFonts w:ascii="Arial" w:hAnsi="Arial"/>
          <w:sz w:val="18"/>
        </w:rPr>
        <w:t>a)</w:t>
      </w:r>
      <w:r w:rsidRPr="00EF2A56">
        <w:rPr>
          <w:rFonts w:ascii="Arial" w:hAnsi="Arial"/>
          <w:sz w:val="18"/>
        </w:rPr>
        <w:tab/>
        <w:t xml:space="preserve">Grundwasser, stehendes oder fließendes Gewässer oder Witterungsniederschläge und den durch sie verursachten </w:t>
      </w:r>
      <w:proofErr w:type="gramStart"/>
      <w:r w:rsidRPr="00EF2A56">
        <w:rPr>
          <w:rFonts w:ascii="Arial" w:hAnsi="Arial"/>
          <w:sz w:val="18"/>
        </w:rPr>
        <w:t>Rüc</w:t>
      </w:r>
      <w:r w:rsidRPr="00EF2A56">
        <w:rPr>
          <w:rFonts w:ascii="Arial" w:hAnsi="Arial"/>
          <w:sz w:val="18"/>
        </w:rPr>
        <w:t>k</w:t>
      </w:r>
      <w:r w:rsidRPr="00EF2A56">
        <w:rPr>
          <w:rFonts w:ascii="Arial" w:hAnsi="Arial"/>
          <w:sz w:val="18"/>
        </w:rPr>
        <w:t>stau</w:t>
      </w:r>
      <w:proofErr w:type="gramEnd"/>
      <w:r w:rsidRPr="00EF2A56">
        <w:rPr>
          <w:rFonts w:ascii="Arial" w:hAnsi="Arial"/>
          <w:sz w:val="18"/>
        </w:rPr>
        <w:t>;</w:t>
      </w:r>
    </w:p>
    <w:p w14:paraId="7B23C6EE" w14:textId="77777777" w:rsidR="0041174E" w:rsidRPr="00EF2A56" w:rsidRDefault="003104A3" w:rsidP="00B5106F">
      <w:pPr>
        <w:spacing w:after="100"/>
        <w:ind w:left="1304" w:hanging="249"/>
        <w:jc w:val="both"/>
        <w:rPr>
          <w:rFonts w:ascii="Arial" w:hAnsi="Arial"/>
          <w:sz w:val="18"/>
        </w:rPr>
      </w:pPr>
      <w:r w:rsidRPr="00EF2A56">
        <w:rPr>
          <w:rFonts w:ascii="Arial" w:hAnsi="Arial"/>
          <w:sz w:val="18"/>
        </w:rPr>
        <w:t>b)</w:t>
      </w:r>
      <w:r w:rsidRPr="00EF2A56">
        <w:rPr>
          <w:rFonts w:ascii="Arial" w:hAnsi="Arial"/>
          <w:sz w:val="18"/>
        </w:rPr>
        <w:tab/>
        <w:t>Plansch- oder Reinigungswa</w:t>
      </w:r>
      <w:r w:rsidRPr="00EF2A56">
        <w:rPr>
          <w:rFonts w:ascii="Arial" w:hAnsi="Arial"/>
          <w:sz w:val="18"/>
        </w:rPr>
        <w:t>s</w:t>
      </w:r>
      <w:r w:rsidRPr="00EF2A56">
        <w:rPr>
          <w:rFonts w:ascii="Arial" w:hAnsi="Arial"/>
          <w:sz w:val="18"/>
        </w:rPr>
        <w:t>ser;</w:t>
      </w:r>
    </w:p>
    <w:p w14:paraId="2693961C" w14:textId="77777777" w:rsidR="0041174E" w:rsidRPr="00EF2A56" w:rsidRDefault="003104A3" w:rsidP="00B5106F">
      <w:pPr>
        <w:spacing w:after="100"/>
        <w:ind w:left="1304" w:hanging="249"/>
        <w:jc w:val="both"/>
        <w:rPr>
          <w:rFonts w:ascii="Arial" w:hAnsi="Arial"/>
          <w:sz w:val="18"/>
        </w:rPr>
      </w:pPr>
      <w:r w:rsidRPr="00EF2A56">
        <w:rPr>
          <w:rFonts w:ascii="Arial" w:hAnsi="Arial"/>
          <w:sz w:val="18"/>
        </w:rPr>
        <w:t>c)</w:t>
      </w:r>
      <w:r w:rsidRPr="00EF2A56">
        <w:rPr>
          <w:rFonts w:ascii="Arial" w:hAnsi="Arial"/>
          <w:sz w:val="18"/>
        </w:rPr>
        <w:tab/>
        <w:t>fehlerhafte Anschlüsse;</w:t>
      </w:r>
    </w:p>
    <w:p w14:paraId="06F26BE5" w14:textId="77777777" w:rsidR="0041174E" w:rsidRDefault="003104A3" w:rsidP="00B5106F">
      <w:pPr>
        <w:spacing w:after="100"/>
        <w:ind w:left="1304" w:hanging="249"/>
        <w:jc w:val="both"/>
        <w:rPr>
          <w:rFonts w:ascii="Arial" w:hAnsi="Arial"/>
          <w:sz w:val="18"/>
        </w:rPr>
      </w:pPr>
      <w:r w:rsidRPr="00EF2A56">
        <w:rPr>
          <w:rFonts w:ascii="Arial" w:hAnsi="Arial"/>
          <w:sz w:val="18"/>
        </w:rPr>
        <w:t>d)</w:t>
      </w:r>
      <w:r w:rsidRPr="00EF2A56">
        <w:rPr>
          <w:rFonts w:ascii="Arial" w:hAnsi="Arial"/>
          <w:sz w:val="18"/>
        </w:rPr>
        <w:tab/>
        <w:t xml:space="preserve">nicht ausreichendes Absperren, Entleeren oder </w:t>
      </w:r>
      <w:proofErr w:type="spellStart"/>
      <w:r w:rsidRPr="00EF2A56">
        <w:rPr>
          <w:rFonts w:ascii="Arial" w:hAnsi="Arial"/>
          <w:sz w:val="18"/>
        </w:rPr>
        <w:t>Entleerthalten</w:t>
      </w:r>
      <w:proofErr w:type="spellEnd"/>
      <w:r w:rsidRPr="00EF2A56">
        <w:rPr>
          <w:rFonts w:ascii="Arial" w:hAnsi="Arial"/>
          <w:sz w:val="18"/>
        </w:rPr>
        <w:t xml:space="preserve"> wasserführender Anl</w:t>
      </w:r>
      <w:r w:rsidRPr="00EF2A56">
        <w:rPr>
          <w:rFonts w:ascii="Arial" w:hAnsi="Arial"/>
          <w:sz w:val="18"/>
        </w:rPr>
        <w:t>a</w:t>
      </w:r>
      <w:r w:rsidRPr="00EF2A56">
        <w:rPr>
          <w:rFonts w:ascii="Arial" w:hAnsi="Arial"/>
          <w:sz w:val="18"/>
        </w:rPr>
        <w:t>gen im nicht benutzten Wohnwagen oder Mobi</w:t>
      </w:r>
      <w:r w:rsidRPr="00EF2A56">
        <w:rPr>
          <w:rFonts w:ascii="Arial" w:hAnsi="Arial"/>
          <w:sz w:val="18"/>
        </w:rPr>
        <w:t>l</w:t>
      </w:r>
      <w:r w:rsidRPr="00EF2A56">
        <w:rPr>
          <w:rFonts w:ascii="Arial" w:hAnsi="Arial"/>
          <w:sz w:val="18"/>
        </w:rPr>
        <w:t>heim.</w:t>
      </w:r>
    </w:p>
    <w:p w14:paraId="1D21DAC1" w14:textId="77777777" w:rsidR="003104A3" w:rsidRDefault="003104A3" w:rsidP="0041174E">
      <w:pPr>
        <w:tabs>
          <w:tab w:val="left" w:pos="1000"/>
        </w:tabs>
        <w:spacing w:after="100"/>
        <w:ind w:left="1000" w:hanging="300"/>
        <w:jc w:val="both"/>
        <w:rPr>
          <w:rFonts w:ascii="Arial" w:hAnsi="Arial"/>
          <w:sz w:val="18"/>
        </w:rPr>
      </w:pPr>
    </w:p>
    <w:sectPr w:rsidR="003104A3" w:rsidSect="0041174E">
      <w:endnotePr>
        <w:numFmt w:val="decimal"/>
      </w:endnotePr>
      <w:type w:val="continuous"/>
      <w:pgSz w:w="11907" w:h="16840" w:code="9"/>
      <w:pgMar w:top="1066" w:right="850" w:bottom="567" w:left="850" w:header="357" w:footer="351" w:gutter="0"/>
      <w:pgNumType w:start="1"/>
      <w:cols w:num="2" w:space="567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B5E2" w14:textId="77777777" w:rsidR="00A254B9" w:rsidRDefault="00A254B9">
      <w:pPr>
        <w:spacing w:line="20" w:lineRule="exact"/>
        <w:rPr>
          <w:sz w:val="24"/>
        </w:rPr>
      </w:pPr>
    </w:p>
  </w:endnote>
  <w:endnote w:type="continuationSeparator" w:id="0">
    <w:p w14:paraId="6BC928D8" w14:textId="77777777" w:rsidR="00A254B9" w:rsidRDefault="00A254B9">
      <w:r>
        <w:rPr>
          <w:sz w:val="24"/>
        </w:rPr>
        <w:t xml:space="preserve"> </w:t>
      </w:r>
    </w:p>
  </w:endnote>
  <w:endnote w:type="continuationNotice" w:id="1">
    <w:p w14:paraId="31956BAA" w14:textId="77777777" w:rsidR="00A254B9" w:rsidRDefault="00A254B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C0B1" w14:textId="77777777" w:rsidR="00F44871" w:rsidRPr="00F44871" w:rsidRDefault="00F44871" w:rsidP="00F44871">
    <w:pPr>
      <w:pStyle w:val="Fuzeile"/>
      <w:jc w:val="right"/>
      <w:rPr>
        <w:rFonts w:ascii="Arial" w:hAnsi="Arial" w:cs="Arial"/>
        <w:sz w:val="16"/>
      </w:rPr>
    </w:pPr>
    <w:r w:rsidRPr="00F44871">
      <w:rPr>
        <w:rFonts w:ascii="Arial" w:hAnsi="Arial" w:cs="Arial"/>
        <w:sz w:val="16"/>
      </w:rPr>
      <w:fldChar w:fldCharType="begin"/>
    </w:r>
    <w:r w:rsidRPr="00F44871">
      <w:rPr>
        <w:rFonts w:ascii="Arial" w:hAnsi="Arial" w:cs="Arial"/>
        <w:sz w:val="16"/>
      </w:rPr>
      <w:instrText xml:space="preserve"> PAGE  \* MERGEFORMAT </w:instrText>
    </w:r>
    <w:r w:rsidRPr="00F44871">
      <w:rPr>
        <w:rFonts w:ascii="Arial" w:hAnsi="Arial" w:cs="Arial"/>
        <w:sz w:val="16"/>
      </w:rPr>
      <w:fldChar w:fldCharType="separate"/>
    </w:r>
    <w:r w:rsidR="0041174E">
      <w:rPr>
        <w:rFonts w:ascii="Arial" w:hAnsi="Arial" w:cs="Arial"/>
        <w:noProof/>
        <w:sz w:val="16"/>
      </w:rPr>
      <w:t>1</w:t>
    </w:r>
    <w:r w:rsidRPr="00F44871">
      <w:rPr>
        <w:rFonts w:ascii="Arial" w:hAnsi="Arial" w:cs="Arial"/>
        <w:sz w:val="16"/>
      </w:rPr>
      <w:fldChar w:fldCharType="end"/>
    </w:r>
    <w:r w:rsidRPr="00F44871">
      <w:rPr>
        <w:rFonts w:ascii="Arial" w:hAnsi="Arial" w:cs="Arial"/>
        <w:sz w:val="16"/>
      </w:rPr>
      <w:t>/</w:t>
    </w:r>
    <w:r w:rsidRPr="00F44871">
      <w:rPr>
        <w:rFonts w:ascii="Arial" w:hAnsi="Arial" w:cs="Arial"/>
        <w:sz w:val="16"/>
      </w:rPr>
      <w:fldChar w:fldCharType="begin"/>
    </w:r>
    <w:r w:rsidRPr="00F44871">
      <w:rPr>
        <w:rFonts w:ascii="Arial" w:hAnsi="Arial" w:cs="Arial"/>
        <w:sz w:val="16"/>
      </w:rPr>
      <w:instrText xml:space="preserve"> NUMPAGES  \* MERGEFORMAT </w:instrText>
    </w:r>
    <w:r w:rsidRPr="00F44871">
      <w:rPr>
        <w:rFonts w:ascii="Arial" w:hAnsi="Arial" w:cs="Arial"/>
        <w:sz w:val="16"/>
      </w:rPr>
      <w:fldChar w:fldCharType="separate"/>
    </w:r>
    <w:r w:rsidRPr="00F44871">
      <w:rPr>
        <w:rFonts w:ascii="Arial" w:hAnsi="Arial" w:cs="Arial"/>
        <w:noProof/>
        <w:sz w:val="16"/>
      </w:rPr>
      <w:t>1</w:t>
    </w:r>
    <w:r w:rsidRPr="00F44871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B4FB" w14:textId="1DFED90F" w:rsidR="0041174E" w:rsidRPr="0041174E" w:rsidRDefault="00B22F73" w:rsidP="0041174E">
    <w:pPr>
      <w:pStyle w:val="Fuzeile"/>
      <w:tabs>
        <w:tab w:val="clear" w:pos="4536"/>
        <w:tab w:val="clear" w:pos="9072"/>
        <w:tab w:val="left" w:pos="9213"/>
        <w:tab w:val="right" w:pos="10205"/>
      </w:tabs>
      <w:rPr>
        <w:rFonts w:ascii="Arial" w:hAnsi="Arial" w:cs="Arial"/>
        <w:sz w:val="16"/>
      </w:rPr>
    </w:pPr>
    <w:r w:rsidRPr="0041174E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4596B2C1" wp14:editId="4A1B8D0C">
              <wp:simplePos x="0" y="0"/>
              <wp:positionH relativeFrom="column">
                <wp:posOffset>10795</wp:posOffset>
              </wp:positionH>
              <wp:positionV relativeFrom="paragraph">
                <wp:posOffset>-17780</wp:posOffset>
              </wp:positionV>
              <wp:extent cx="457200" cy="0"/>
              <wp:effectExtent l="0" t="0" r="0" b="0"/>
              <wp:wrapNone/>
              <wp:docPr id="1330859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3C163" id="Line 1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1.4pt" to="36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" o:allowincell="f">
              <w10:anchorlock/>
            </v:line>
          </w:pict>
        </mc:Fallback>
      </mc:AlternateContent>
    </w:r>
    <w:r w:rsidR="0041174E" w:rsidRPr="0041174E">
      <w:rPr>
        <w:rFonts w:ascii="Arial" w:hAnsi="Arial" w:cs="Arial"/>
        <w:sz w:val="16"/>
      </w:rPr>
      <w:t>Klauseln AVB Camping 1985/20</w:t>
    </w:r>
    <w:r w:rsidR="00EC1DB8">
      <w:rPr>
        <w:rFonts w:ascii="Arial" w:hAnsi="Arial" w:cs="Arial"/>
        <w:sz w:val="16"/>
      </w:rPr>
      <w:t>2</w:t>
    </w:r>
    <w:r w:rsidR="00DB5B9F">
      <w:rPr>
        <w:rFonts w:ascii="Arial" w:hAnsi="Arial" w:cs="Arial"/>
        <w:sz w:val="16"/>
      </w:rPr>
      <w:t>5</w:t>
    </w:r>
    <w:r w:rsidR="0041174E" w:rsidRPr="0041174E">
      <w:rPr>
        <w:rFonts w:ascii="Arial" w:hAnsi="Arial" w:cs="Arial"/>
        <w:sz w:val="16"/>
      </w:rPr>
      <w:t>,</w:t>
    </w:r>
    <w:r w:rsidR="00AF7F60">
      <w:rPr>
        <w:rFonts w:ascii="Arial" w:hAnsi="Arial" w:cs="Arial"/>
        <w:sz w:val="16"/>
      </w:rPr>
      <w:t xml:space="preserve"> </w:t>
    </w:r>
    <w:r w:rsidR="00DB5B9F">
      <w:rPr>
        <w:rFonts w:ascii="Arial" w:hAnsi="Arial" w:cs="Arial"/>
        <w:sz w:val="16"/>
      </w:rPr>
      <w:t>März 2025</w:t>
    </w:r>
    <w:r w:rsidR="0041174E" w:rsidRPr="0041174E">
      <w:rPr>
        <w:rFonts w:ascii="Arial" w:hAnsi="Arial" w:cs="Arial"/>
        <w:sz w:val="16"/>
      </w:rPr>
      <w:tab/>
      <w:t>Seite</w:t>
    </w:r>
    <w:r w:rsidR="0041174E" w:rsidRPr="0041174E">
      <w:rPr>
        <w:rFonts w:ascii="Arial" w:hAnsi="Arial" w:cs="Arial"/>
        <w:sz w:val="16"/>
      </w:rPr>
      <w:tab/>
    </w:r>
    <w:r w:rsidR="0041174E" w:rsidRPr="0041174E">
      <w:rPr>
        <w:rFonts w:ascii="Arial" w:hAnsi="Arial" w:cs="Arial"/>
        <w:sz w:val="16"/>
      </w:rPr>
      <w:fldChar w:fldCharType="begin"/>
    </w:r>
    <w:r w:rsidR="0041174E" w:rsidRPr="0041174E">
      <w:rPr>
        <w:rFonts w:ascii="Arial" w:hAnsi="Arial" w:cs="Arial"/>
        <w:sz w:val="16"/>
      </w:rPr>
      <w:instrText xml:space="preserve"> PAGE  \* MERGEFORMAT </w:instrText>
    </w:r>
    <w:r w:rsidR="0041174E" w:rsidRPr="0041174E">
      <w:rPr>
        <w:rFonts w:ascii="Arial" w:hAnsi="Arial" w:cs="Arial"/>
        <w:sz w:val="16"/>
      </w:rPr>
      <w:fldChar w:fldCharType="separate"/>
    </w:r>
    <w:r w:rsidR="00EF2A56">
      <w:rPr>
        <w:rFonts w:ascii="Arial" w:hAnsi="Arial" w:cs="Arial"/>
        <w:noProof/>
        <w:sz w:val="16"/>
      </w:rPr>
      <w:t>1</w:t>
    </w:r>
    <w:r w:rsidR="0041174E" w:rsidRPr="0041174E">
      <w:rPr>
        <w:rFonts w:ascii="Arial" w:hAnsi="Arial" w:cs="Arial"/>
        <w:sz w:val="16"/>
      </w:rPr>
      <w:fldChar w:fldCharType="end"/>
    </w:r>
    <w:r w:rsidR="0041174E" w:rsidRPr="0041174E">
      <w:rPr>
        <w:rFonts w:ascii="Arial" w:hAnsi="Arial" w:cs="Arial"/>
        <w:sz w:val="16"/>
      </w:rPr>
      <w:t xml:space="preserve"> / </w:t>
    </w:r>
    <w:r w:rsidR="0041174E" w:rsidRPr="0041174E">
      <w:rPr>
        <w:rFonts w:ascii="Arial" w:hAnsi="Arial" w:cs="Arial"/>
        <w:sz w:val="16"/>
      </w:rPr>
      <w:fldChar w:fldCharType="begin"/>
    </w:r>
    <w:r w:rsidR="0041174E" w:rsidRPr="0041174E">
      <w:rPr>
        <w:rFonts w:ascii="Arial" w:hAnsi="Arial" w:cs="Arial"/>
        <w:sz w:val="16"/>
      </w:rPr>
      <w:instrText xml:space="preserve"> NUMPAGES  \* MERGEFORMAT </w:instrText>
    </w:r>
    <w:r w:rsidR="0041174E" w:rsidRPr="0041174E">
      <w:rPr>
        <w:rFonts w:ascii="Arial" w:hAnsi="Arial" w:cs="Arial"/>
        <w:sz w:val="16"/>
      </w:rPr>
      <w:fldChar w:fldCharType="separate"/>
    </w:r>
    <w:r w:rsidR="00EF2A56">
      <w:rPr>
        <w:rFonts w:ascii="Arial" w:hAnsi="Arial" w:cs="Arial"/>
        <w:noProof/>
        <w:sz w:val="16"/>
      </w:rPr>
      <w:t>1</w:t>
    </w:r>
    <w:r w:rsidR="0041174E" w:rsidRPr="0041174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FDD1" w14:textId="77777777" w:rsidR="00A254B9" w:rsidRDefault="00A254B9">
      <w:r>
        <w:rPr>
          <w:sz w:val="24"/>
        </w:rPr>
        <w:separator/>
      </w:r>
    </w:p>
  </w:footnote>
  <w:footnote w:type="continuationSeparator" w:id="0">
    <w:p w14:paraId="3A9E3473" w14:textId="77777777" w:rsidR="00A254B9" w:rsidRDefault="00A2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F2CC" w14:textId="77777777" w:rsidR="00027A13" w:rsidRDefault="00027A13" w:rsidP="0041174E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</w:p>
  <w:p w14:paraId="38CA5ABF" w14:textId="77777777" w:rsidR="00027A13" w:rsidRDefault="00027A13" w:rsidP="0041174E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</w:p>
  <w:p w14:paraId="460814AC" w14:textId="77777777" w:rsidR="00027A13" w:rsidRDefault="00027A13" w:rsidP="0041174E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</w:p>
  <w:p w14:paraId="3F0DE8AB" w14:textId="45229CE4" w:rsidR="0041174E" w:rsidRPr="0041174E" w:rsidRDefault="00B22F73" w:rsidP="0041174E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  <w:r>
      <w:rPr>
        <w:rFonts w:cs="Arial"/>
        <w:b/>
        <w:noProof/>
        <w:snapToGrid/>
        <w:sz w:val="24"/>
      </w:rPr>
      <w:drawing>
        <wp:anchor distT="0" distB="0" distL="114300" distR="114300" simplePos="0" relativeHeight="251658240" behindDoc="0" locked="0" layoutInCell="0" allowOverlap="1" wp14:anchorId="43844D4F" wp14:editId="51911013">
          <wp:simplePos x="0" y="0"/>
          <wp:positionH relativeFrom="column">
            <wp:posOffset>0</wp:posOffset>
          </wp:positionH>
          <wp:positionV relativeFrom="paragraph">
            <wp:posOffset>-437515</wp:posOffset>
          </wp:positionV>
          <wp:extent cx="2343150" cy="409575"/>
          <wp:effectExtent l="0" t="0" r="0" b="0"/>
          <wp:wrapNone/>
          <wp:docPr id="12" name="Bild 12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" t="27907" r="6761" b="22093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3CE54" w14:textId="77777777" w:rsidR="0041174E" w:rsidRPr="0041174E" w:rsidRDefault="0041174E" w:rsidP="0041174E">
    <w:pPr>
      <w:pStyle w:val="Textkrper2"/>
      <w:pBdr>
        <w:bottom w:val="single" w:sz="4" w:space="1" w:color="auto"/>
      </w:pBdr>
      <w:rPr>
        <w:sz w:val="20"/>
      </w:rPr>
    </w:pPr>
    <w:r w:rsidRPr="0041174E">
      <w:rPr>
        <w:sz w:val="20"/>
      </w:rPr>
      <w:t>Unverbindliche Bekanntgabe des Gesamtverbandes der Deutschen Versicherungswirtschaft e. V. (GDV)</w:t>
    </w:r>
    <w:r w:rsidRPr="0041174E">
      <w:rPr>
        <w:sz w:val="20"/>
      </w:rPr>
      <w:br/>
      <w:t>zur fakultativen Verwendung. Abweichende Vereinbarungen sind möglich.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00A57D4"/>
    <w:lvl w:ilvl="0">
      <w:numFmt w:val="decimal"/>
      <w:pStyle w:val="aaadejongAufzStrich"/>
      <w:lvlText w:val="*"/>
      <w:lvlJc w:val="left"/>
    </w:lvl>
  </w:abstractNum>
  <w:abstractNum w:abstractNumId="1" w15:restartNumberingAfterBreak="0">
    <w:nsid w:val="0EA929D1"/>
    <w:multiLevelType w:val="hybridMultilevel"/>
    <w:tmpl w:val="CCEE63A6"/>
    <w:lvl w:ilvl="0" w:tplc="EDA8CE1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19A1"/>
    <w:multiLevelType w:val="hybridMultilevel"/>
    <w:tmpl w:val="D43240AE"/>
    <w:lvl w:ilvl="0" w:tplc="EDA8CE12">
      <w:start w:val="1"/>
      <w:numFmt w:val="bullet"/>
      <w:lvlText w:val=""/>
      <w:lvlJc w:val="left"/>
      <w:pPr>
        <w:tabs>
          <w:tab w:val="num" w:pos="927"/>
        </w:tabs>
        <w:ind w:left="92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25E15E4D"/>
    <w:multiLevelType w:val="hybridMultilevel"/>
    <w:tmpl w:val="8FFE96BE"/>
    <w:lvl w:ilvl="0" w:tplc="E0F0EAD4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7178C"/>
    <w:multiLevelType w:val="hybridMultilevel"/>
    <w:tmpl w:val="2F621AB6"/>
    <w:lvl w:ilvl="0" w:tplc="EDA8CE12">
      <w:start w:val="1"/>
      <w:numFmt w:val="bullet"/>
      <w:lvlText w:val=""/>
      <w:lvlJc w:val="left"/>
      <w:pPr>
        <w:tabs>
          <w:tab w:val="num" w:pos="1062"/>
        </w:tabs>
        <w:ind w:left="1062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CD274B2"/>
    <w:multiLevelType w:val="multilevel"/>
    <w:tmpl w:val="6066B6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1E6544D"/>
    <w:multiLevelType w:val="hybridMultilevel"/>
    <w:tmpl w:val="27E4C92A"/>
    <w:lvl w:ilvl="0" w:tplc="5F98D676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52FF36DF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56E315E5"/>
    <w:multiLevelType w:val="hybridMultilevel"/>
    <w:tmpl w:val="6964816C"/>
    <w:lvl w:ilvl="0" w:tplc="EDA8CE1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501B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625D64ED"/>
    <w:multiLevelType w:val="multilevel"/>
    <w:tmpl w:val="528C5C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52934A1"/>
    <w:multiLevelType w:val="singleLevel"/>
    <w:tmpl w:val="62467D7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6A62744D"/>
    <w:multiLevelType w:val="multilevel"/>
    <w:tmpl w:val="0A5A58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BE27948"/>
    <w:multiLevelType w:val="singleLevel"/>
    <w:tmpl w:val="127C81B2"/>
    <w:lvl w:ilvl="0">
      <w:start w:val="2"/>
      <w:numFmt w:val="decimal"/>
      <w:lvlText w:val="2.%1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/>
        <w:i w:val="0"/>
        <w:sz w:val="16"/>
        <w:u w:val="none"/>
      </w:rPr>
    </w:lvl>
  </w:abstractNum>
  <w:abstractNum w:abstractNumId="14" w15:restartNumberingAfterBreak="0">
    <w:nsid w:val="6CEF6969"/>
    <w:multiLevelType w:val="multilevel"/>
    <w:tmpl w:val="4CF4B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DE41653"/>
    <w:multiLevelType w:val="singleLevel"/>
    <w:tmpl w:val="2FE0F154"/>
    <w:lvl w:ilvl="0">
      <w:start w:val="1"/>
      <w:numFmt w:val="decimal"/>
      <w:lvlText w:val="2.%1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/>
        <w:i w:val="0"/>
        <w:sz w:val="16"/>
        <w:u w:val="none"/>
      </w:rPr>
    </w:lvl>
  </w:abstractNum>
  <w:abstractNum w:abstractNumId="16" w15:restartNumberingAfterBreak="0">
    <w:nsid w:val="75480A84"/>
    <w:multiLevelType w:val="multilevel"/>
    <w:tmpl w:val="4CF4B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B345E7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301109960">
    <w:abstractNumId w:val="15"/>
  </w:num>
  <w:num w:numId="2" w16cid:durableId="477233661">
    <w:abstractNumId w:val="0"/>
    <w:lvlOverride w:ilvl="0">
      <w:lvl w:ilvl="0">
        <w:start w:val="1"/>
        <w:numFmt w:val="bullet"/>
        <w:pStyle w:val="aaadejongAufzStrich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3" w16cid:durableId="1821771079">
    <w:abstractNumId w:val="13"/>
  </w:num>
  <w:num w:numId="4" w16cid:durableId="798649070">
    <w:abstractNumId w:val="17"/>
  </w:num>
  <w:num w:numId="5" w16cid:durableId="1797720332">
    <w:abstractNumId w:val="11"/>
  </w:num>
  <w:num w:numId="6" w16cid:durableId="1012218379">
    <w:abstractNumId w:val="0"/>
    <w:lvlOverride w:ilvl="0">
      <w:lvl w:ilvl="0">
        <w:start w:val="1"/>
        <w:numFmt w:val="bullet"/>
        <w:pStyle w:val="aaadejongAufzStrich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850829371">
    <w:abstractNumId w:val="7"/>
  </w:num>
  <w:num w:numId="8" w16cid:durableId="463893200">
    <w:abstractNumId w:val="4"/>
  </w:num>
  <w:num w:numId="9" w16cid:durableId="1757434413">
    <w:abstractNumId w:val="9"/>
  </w:num>
  <w:num w:numId="10" w16cid:durableId="1059094102">
    <w:abstractNumId w:val="0"/>
    <w:lvlOverride w:ilvl="0">
      <w:lvl w:ilvl="0">
        <w:start w:val="1"/>
        <w:numFmt w:val="bullet"/>
        <w:pStyle w:val="aaadejongAufzStrich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 w16cid:durableId="2113472831">
    <w:abstractNumId w:val="3"/>
  </w:num>
  <w:num w:numId="12" w16cid:durableId="1563059460">
    <w:abstractNumId w:val="10"/>
  </w:num>
  <w:num w:numId="13" w16cid:durableId="412091240">
    <w:abstractNumId w:val="16"/>
  </w:num>
  <w:num w:numId="14" w16cid:durableId="1279994040">
    <w:abstractNumId w:val="14"/>
  </w:num>
  <w:num w:numId="15" w16cid:durableId="1655602341">
    <w:abstractNumId w:val="5"/>
  </w:num>
  <w:num w:numId="16" w16cid:durableId="425617143">
    <w:abstractNumId w:val="8"/>
  </w:num>
  <w:num w:numId="17" w16cid:durableId="1442798913">
    <w:abstractNumId w:val="2"/>
  </w:num>
  <w:num w:numId="18" w16cid:durableId="1431044349">
    <w:abstractNumId w:val="1"/>
  </w:num>
  <w:num w:numId="19" w16cid:durableId="264922128">
    <w:abstractNumId w:val="6"/>
  </w:num>
  <w:num w:numId="20" w16cid:durableId="261304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27"/>
    <w:rsid w:val="00027A13"/>
    <w:rsid w:val="00037B07"/>
    <w:rsid w:val="0008353B"/>
    <w:rsid w:val="00096464"/>
    <w:rsid w:val="00096CDE"/>
    <w:rsid w:val="000A151B"/>
    <w:rsid w:val="000D25FC"/>
    <w:rsid w:val="000D4732"/>
    <w:rsid w:val="00107369"/>
    <w:rsid w:val="00121A9E"/>
    <w:rsid w:val="0014132D"/>
    <w:rsid w:val="0015648E"/>
    <w:rsid w:val="001579DD"/>
    <w:rsid w:val="0017244F"/>
    <w:rsid w:val="00172DAB"/>
    <w:rsid w:val="001952DD"/>
    <w:rsid w:val="001B7F9B"/>
    <w:rsid w:val="001C349A"/>
    <w:rsid w:val="001C53AE"/>
    <w:rsid w:val="00200633"/>
    <w:rsid w:val="002006EE"/>
    <w:rsid w:val="00202455"/>
    <w:rsid w:val="00217B5D"/>
    <w:rsid w:val="00232CBC"/>
    <w:rsid w:val="00240AD8"/>
    <w:rsid w:val="00243CEF"/>
    <w:rsid w:val="00254AD3"/>
    <w:rsid w:val="002638C0"/>
    <w:rsid w:val="002757F2"/>
    <w:rsid w:val="002842DE"/>
    <w:rsid w:val="00294955"/>
    <w:rsid w:val="002B5455"/>
    <w:rsid w:val="002D71EE"/>
    <w:rsid w:val="002E25BA"/>
    <w:rsid w:val="003104A3"/>
    <w:rsid w:val="00333AB5"/>
    <w:rsid w:val="0033539C"/>
    <w:rsid w:val="00344CFD"/>
    <w:rsid w:val="00361844"/>
    <w:rsid w:val="00365849"/>
    <w:rsid w:val="003709CF"/>
    <w:rsid w:val="00372DD2"/>
    <w:rsid w:val="00383DFF"/>
    <w:rsid w:val="0039258E"/>
    <w:rsid w:val="003A1D27"/>
    <w:rsid w:val="003A757F"/>
    <w:rsid w:val="003E56D3"/>
    <w:rsid w:val="00401D0F"/>
    <w:rsid w:val="0041174E"/>
    <w:rsid w:val="0042226B"/>
    <w:rsid w:val="00442E6E"/>
    <w:rsid w:val="00444565"/>
    <w:rsid w:val="00456047"/>
    <w:rsid w:val="004675CC"/>
    <w:rsid w:val="00476012"/>
    <w:rsid w:val="00486322"/>
    <w:rsid w:val="004866CF"/>
    <w:rsid w:val="004A7214"/>
    <w:rsid w:val="004D65C5"/>
    <w:rsid w:val="004E1E8F"/>
    <w:rsid w:val="0050252A"/>
    <w:rsid w:val="00515378"/>
    <w:rsid w:val="00521154"/>
    <w:rsid w:val="00543AA7"/>
    <w:rsid w:val="005445A0"/>
    <w:rsid w:val="00547643"/>
    <w:rsid w:val="00557DC2"/>
    <w:rsid w:val="00562147"/>
    <w:rsid w:val="005B7341"/>
    <w:rsid w:val="005C0B13"/>
    <w:rsid w:val="005D1BF3"/>
    <w:rsid w:val="005E4268"/>
    <w:rsid w:val="005E6493"/>
    <w:rsid w:val="005E7B8B"/>
    <w:rsid w:val="005F6893"/>
    <w:rsid w:val="00606825"/>
    <w:rsid w:val="006101F3"/>
    <w:rsid w:val="00610973"/>
    <w:rsid w:val="006275B7"/>
    <w:rsid w:val="006615FA"/>
    <w:rsid w:val="0066704E"/>
    <w:rsid w:val="0068271E"/>
    <w:rsid w:val="00685720"/>
    <w:rsid w:val="006A0B09"/>
    <w:rsid w:val="006B0623"/>
    <w:rsid w:val="006C185F"/>
    <w:rsid w:val="006C3A6E"/>
    <w:rsid w:val="00712D1E"/>
    <w:rsid w:val="00733C73"/>
    <w:rsid w:val="00757B8C"/>
    <w:rsid w:val="00773A6C"/>
    <w:rsid w:val="0078218E"/>
    <w:rsid w:val="007A1FDA"/>
    <w:rsid w:val="007A499B"/>
    <w:rsid w:val="007D6F9E"/>
    <w:rsid w:val="007E56E6"/>
    <w:rsid w:val="007F4B2A"/>
    <w:rsid w:val="007F7075"/>
    <w:rsid w:val="007F7B9E"/>
    <w:rsid w:val="008041E4"/>
    <w:rsid w:val="008145A5"/>
    <w:rsid w:val="00830BAF"/>
    <w:rsid w:val="00841478"/>
    <w:rsid w:val="00842B08"/>
    <w:rsid w:val="00854DB5"/>
    <w:rsid w:val="00876CC5"/>
    <w:rsid w:val="0089412A"/>
    <w:rsid w:val="008B72B0"/>
    <w:rsid w:val="008C3FB9"/>
    <w:rsid w:val="008C4DA6"/>
    <w:rsid w:val="008D250D"/>
    <w:rsid w:val="008F5B65"/>
    <w:rsid w:val="00906385"/>
    <w:rsid w:val="009111BA"/>
    <w:rsid w:val="00926AFE"/>
    <w:rsid w:val="00927373"/>
    <w:rsid w:val="00927F19"/>
    <w:rsid w:val="00992B69"/>
    <w:rsid w:val="009A7F8B"/>
    <w:rsid w:val="009C566D"/>
    <w:rsid w:val="009D3ED7"/>
    <w:rsid w:val="00A05F94"/>
    <w:rsid w:val="00A1117C"/>
    <w:rsid w:val="00A172B9"/>
    <w:rsid w:val="00A23652"/>
    <w:rsid w:val="00A254B9"/>
    <w:rsid w:val="00A259C5"/>
    <w:rsid w:val="00A31951"/>
    <w:rsid w:val="00A507E1"/>
    <w:rsid w:val="00A62C59"/>
    <w:rsid w:val="00A77E17"/>
    <w:rsid w:val="00A83274"/>
    <w:rsid w:val="00AA4782"/>
    <w:rsid w:val="00AB7A10"/>
    <w:rsid w:val="00AD1138"/>
    <w:rsid w:val="00AD1CAC"/>
    <w:rsid w:val="00AD6F58"/>
    <w:rsid w:val="00AF7F60"/>
    <w:rsid w:val="00B22F73"/>
    <w:rsid w:val="00B238B0"/>
    <w:rsid w:val="00B3506A"/>
    <w:rsid w:val="00B5106F"/>
    <w:rsid w:val="00B51F1A"/>
    <w:rsid w:val="00B625D3"/>
    <w:rsid w:val="00B6369B"/>
    <w:rsid w:val="00B7737E"/>
    <w:rsid w:val="00B82442"/>
    <w:rsid w:val="00BC3BF8"/>
    <w:rsid w:val="00BE358A"/>
    <w:rsid w:val="00BE4092"/>
    <w:rsid w:val="00BE6066"/>
    <w:rsid w:val="00BF7ADB"/>
    <w:rsid w:val="00C02B90"/>
    <w:rsid w:val="00C055E3"/>
    <w:rsid w:val="00C3150A"/>
    <w:rsid w:val="00C54DBE"/>
    <w:rsid w:val="00C64182"/>
    <w:rsid w:val="00C865CE"/>
    <w:rsid w:val="00C95934"/>
    <w:rsid w:val="00CA0576"/>
    <w:rsid w:val="00CB3629"/>
    <w:rsid w:val="00CD1C4E"/>
    <w:rsid w:val="00D248EC"/>
    <w:rsid w:val="00D34B4E"/>
    <w:rsid w:val="00D468C5"/>
    <w:rsid w:val="00D742B3"/>
    <w:rsid w:val="00DB3543"/>
    <w:rsid w:val="00DB3F8D"/>
    <w:rsid w:val="00DB5B9F"/>
    <w:rsid w:val="00DC3527"/>
    <w:rsid w:val="00DE5EC5"/>
    <w:rsid w:val="00DF72C5"/>
    <w:rsid w:val="00E95C3A"/>
    <w:rsid w:val="00EC00A3"/>
    <w:rsid w:val="00EC1DB8"/>
    <w:rsid w:val="00EC615E"/>
    <w:rsid w:val="00EE28AB"/>
    <w:rsid w:val="00EF2A56"/>
    <w:rsid w:val="00F127D6"/>
    <w:rsid w:val="00F13F2A"/>
    <w:rsid w:val="00F31F4A"/>
    <w:rsid w:val="00F3386F"/>
    <w:rsid w:val="00F33C5D"/>
    <w:rsid w:val="00F412F2"/>
    <w:rsid w:val="00F43981"/>
    <w:rsid w:val="00F44871"/>
    <w:rsid w:val="00F476D3"/>
    <w:rsid w:val="00F547AB"/>
    <w:rsid w:val="00F5687A"/>
    <w:rsid w:val="00FA1674"/>
    <w:rsid w:val="00FA57CA"/>
    <w:rsid w:val="00FB0ECD"/>
    <w:rsid w:val="00FB3651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0FAE43D"/>
  <w15:chartTrackingRefBased/>
  <w15:docId w15:val="{90DBA3DA-3B8C-4D2E-8AF6-523C4906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Standard"/>
    <w:next w:val="Standard"/>
    <w:qFormat/>
    <w:pPr>
      <w:keepNext/>
      <w:suppressAutoHyphens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  <w:tab w:val="left" w:pos="284"/>
      </w:tabs>
      <w:suppressAutoHyphens/>
      <w:outlineLvl w:val="1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Endnotentext">
    <w:name w:val="endnote text"/>
    <w:basedOn w:val="Standard"/>
    <w:semiHidden/>
    <w:rPr>
      <w:sz w:val="24"/>
    </w:rPr>
  </w:style>
  <w:style w:type="character" w:styleId="Endnotenzeichen">
    <w:name w:val="endnote reference"/>
    <w:semiHidden/>
    <w:rPr>
      <w:sz w:val="20"/>
      <w:vertAlign w:val="superscript"/>
    </w:rPr>
  </w:style>
  <w:style w:type="paragraph" w:styleId="Funotentext">
    <w:name w:val="footnote text"/>
    <w:basedOn w:val="Standard"/>
    <w:semiHidden/>
    <w:rPr>
      <w:sz w:val="24"/>
    </w:r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Verzeichnis1">
    <w:name w:val="toc 1"/>
    <w:basedOn w:val="Standard"/>
    <w:next w:val="Standard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tabs>
        <w:tab w:val="left" w:pos="0"/>
        <w:tab w:val="left" w:pos="284"/>
      </w:tabs>
      <w:suppressAutoHyphens/>
    </w:pPr>
    <w:rPr>
      <w:b/>
      <w:sz w:val="16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uppressAutoHyphens/>
      <w:jc w:val="center"/>
    </w:pPr>
    <w:rPr>
      <w:rFonts w:ascii="Arial" w:hAnsi="Arial"/>
      <w:snapToGrid w:val="0"/>
      <w:sz w:val="22"/>
    </w:rPr>
  </w:style>
  <w:style w:type="paragraph" w:styleId="Sprechblasentext">
    <w:name w:val="Balloon Text"/>
    <w:basedOn w:val="Standard"/>
    <w:semiHidden/>
    <w:rsid w:val="008041E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041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dejong">
    <w:name w:val="aaa_dejong"/>
    <w:basedOn w:val="Standard"/>
    <w:autoRedefine/>
    <w:rsid w:val="00557DC2"/>
    <w:pPr>
      <w:tabs>
        <w:tab w:val="left" w:pos="851"/>
      </w:tabs>
      <w:ind w:left="851" w:hanging="851"/>
      <w:jc w:val="both"/>
    </w:pPr>
    <w:rPr>
      <w:rFonts w:ascii="Arial" w:hAnsi="Arial" w:cs="Arial"/>
      <w:sz w:val="18"/>
    </w:rPr>
  </w:style>
  <w:style w:type="paragraph" w:customStyle="1" w:styleId="aaadejongAufzStrich">
    <w:name w:val="aaa_dejong_Aufz_Strich"/>
    <w:basedOn w:val="Standard"/>
    <w:autoRedefine/>
    <w:rsid w:val="00E95C3A"/>
    <w:pPr>
      <w:widowControl/>
      <w:numPr>
        <w:numId w:val="6"/>
      </w:numPr>
      <w:tabs>
        <w:tab w:val="left" w:pos="851"/>
      </w:tabs>
      <w:ind w:left="1304" w:hanging="453"/>
      <w:jc w:val="both"/>
    </w:pPr>
    <w:rPr>
      <w:rFonts w:ascii="Arial" w:hAnsi="Arial" w:cs="Arial"/>
      <w:sz w:val="18"/>
    </w:rPr>
  </w:style>
  <w:style w:type="paragraph" w:customStyle="1" w:styleId="aaadejongfett">
    <w:name w:val="aaa_dejong_fett"/>
    <w:basedOn w:val="Standard"/>
    <w:link w:val="aaadejongfettZchn"/>
    <w:autoRedefine/>
    <w:rsid w:val="00733C73"/>
    <w:pPr>
      <w:tabs>
        <w:tab w:val="left" w:pos="851"/>
      </w:tabs>
      <w:ind w:left="709" w:hanging="709"/>
      <w:jc w:val="both"/>
    </w:pPr>
    <w:rPr>
      <w:rFonts w:ascii="Arial" w:hAnsi="Arial" w:cs="Arial"/>
      <w:b/>
      <w:sz w:val="18"/>
    </w:rPr>
  </w:style>
  <w:style w:type="character" w:customStyle="1" w:styleId="aaadejongfettZchn">
    <w:name w:val="aaa_dejong_fett Zchn"/>
    <w:link w:val="aaadejongfett"/>
    <w:rsid w:val="00557DC2"/>
    <w:rPr>
      <w:rFonts w:ascii="Arial" w:hAnsi="Arial" w:cs="Arial"/>
      <w:b/>
      <w:sz w:val="18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223BB96C84F4E947FDAD2FC42D1FC" ma:contentTypeVersion="19" ma:contentTypeDescription="Ein neues Dokument erstellen." ma:contentTypeScope="" ma:versionID="5411bddc1ffaeb32ed4c16398bc270d7">
  <xsd:schema xmlns:xsd="http://www.w3.org/2001/XMLSchema" xmlns:xs="http://www.w3.org/2001/XMLSchema" xmlns:p="http://schemas.microsoft.com/office/2006/metadata/properties" xmlns:ns2="b5539286-5ee8-44bc-baa4-0e2ff02f6573" xmlns:ns3="7b005ea8-45a7-4705-82f0-6b1ce8aaff7b" targetNamespace="http://schemas.microsoft.com/office/2006/metadata/properties" ma:root="true" ma:fieldsID="118082f388260a828ebb2ab63cd88d0c" ns2:_="" ns3:_="">
    <xsd:import namespace="b5539286-5ee8-44bc-baa4-0e2ff02f6573"/>
    <xsd:import namespace="7b005ea8-45a7-4705-82f0-6b1ce8aa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O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9286-5ee8-44bc-baa4-0e2ff02f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2510aa0-957d-4b1b-ad12-f5c24380f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t" ma:index="24" nillable="true" ma:displayName="Ort" ma:format="Dropdown" ma:internalName="Or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5ea8-45a7-4705-82f0-6b1ce8aaf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3398-dc50-4b55-a3a1-aca659f7df72}" ma:internalName="TaxCatchAll" ma:showField="CatchAllData" ma:web="7b005ea8-45a7-4705-82f0-6b1ce8aaf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05ea8-45a7-4705-82f0-6b1ce8aaff7b"/>
    <lcf76f155ced4ddcb4097134ff3c332f xmlns="b5539286-5ee8-44bc-baa4-0e2ff02f6573">
      <Terms xmlns="http://schemas.microsoft.com/office/infopath/2007/PartnerControls"/>
    </lcf76f155ced4ddcb4097134ff3c332f>
    <Ort xmlns="b5539286-5ee8-44bc-baa4-0e2ff02f6573" xsi:nil="true"/>
  </documentManagement>
</p:properties>
</file>

<file path=customXml/itemProps1.xml><?xml version="1.0" encoding="utf-8"?>
<ds:datastoreItem xmlns:ds="http://schemas.openxmlformats.org/officeDocument/2006/customXml" ds:itemID="{32DAA847-902F-4326-ACE7-323D9F1DC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39286-5ee8-44bc-baa4-0e2ff02f6573"/>
    <ds:schemaRef ds:uri="7b005ea8-45a7-4705-82f0-6b1ce8aaf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669D0-504D-4DFD-8A2F-CFCDA72AA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11BE5-B6B0-4729-B3C0-DCB4ABCEBF03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7b005ea8-45a7-4705-82f0-6b1ce8aaff7b"/>
    <ds:schemaRef ds:uri="http://schemas.microsoft.com/office/infopath/2007/PartnerControls"/>
    <ds:schemaRef ds:uri="b5539286-5ee8-44bc-baa4-0e2ff02f65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GDV</vt:lpstr>
    </vt:vector>
  </TitlesOfParts>
  <Company>GDV - Büro Hamburg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GDV</dc:title>
  <dc:subject/>
  <dc:creator>GDV</dc:creator>
  <cp:keywords/>
  <cp:lastModifiedBy>Kupfer, Björn</cp:lastModifiedBy>
  <cp:revision>2</cp:revision>
  <cp:lastPrinted>2022-07-06T08:24:00Z</cp:lastPrinted>
  <dcterms:created xsi:type="dcterms:W3CDTF">2025-03-04T19:53:00Z</dcterms:created>
  <dcterms:modified xsi:type="dcterms:W3CDTF">2025-03-04T19:53:00Z</dcterms:modified>
</cp:coreProperties>
</file>