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BBA46" w14:textId="77777777" w:rsidR="00FA2FB3" w:rsidRPr="0070709C" w:rsidRDefault="00FA2FB3" w:rsidP="00FA2FB3">
      <w:pPr>
        <w:pStyle w:val="Kopfzeile"/>
        <w:jc w:val="center"/>
        <w:rPr>
          <w:rFonts w:ascii="Arial" w:hAnsi="Arial" w:cs="Arial"/>
        </w:rPr>
      </w:pPr>
    </w:p>
    <w:p w14:paraId="4195EF30" w14:textId="77777777" w:rsidR="00FA2FB3" w:rsidRPr="0070709C" w:rsidRDefault="00FA2FB3" w:rsidP="00FA2FB3">
      <w:pPr>
        <w:jc w:val="center"/>
        <w:rPr>
          <w:rFonts w:ascii="Arial" w:hAnsi="Arial"/>
        </w:rPr>
      </w:pPr>
    </w:p>
    <w:p w14:paraId="3005E3AC" w14:textId="77777777" w:rsidR="00FA2FB3" w:rsidRPr="0070709C" w:rsidRDefault="00FA2FB3" w:rsidP="00FA2FB3">
      <w:pPr>
        <w:jc w:val="center"/>
        <w:rPr>
          <w:rFonts w:ascii="Arial" w:hAnsi="Arial"/>
          <w:b/>
          <w:sz w:val="28"/>
          <w:szCs w:val="28"/>
        </w:rPr>
      </w:pPr>
      <w:r w:rsidRPr="0070709C">
        <w:rPr>
          <w:rFonts w:ascii="Arial" w:hAnsi="Arial"/>
          <w:b/>
          <w:sz w:val="28"/>
          <w:szCs w:val="28"/>
        </w:rPr>
        <w:t>Sonderbedingungen für die Neuwert-Versicherung</w:t>
      </w:r>
    </w:p>
    <w:p w14:paraId="6CFC1227" w14:textId="77EFEEF1" w:rsidR="00FA2FB3" w:rsidRPr="0070709C" w:rsidRDefault="00FA2FB3" w:rsidP="00FA2FB3">
      <w:pPr>
        <w:jc w:val="center"/>
        <w:rPr>
          <w:rFonts w:ascii="Arial" w:hAnsi="Arial"/>
          <w:b/>
          <w:sz w:val="28"/>
          <w:szCs w:val="28"/>
        </w:rPr>
      </w:pPr>
      <w:r w:rsidRPr="0070709C">
        <w:rPr>
          <w:rFonts w:ascii="Arial" w:hAnsi="Arial"/>
          <w:b/>
          <w:sz w:val="28"/>
          <w:szCs w:val="28"/>
        </w:rPr>
        <w:t xml:space="preserve">von Jagd- und Sportwaffen nebst Zubehör </w:t>
      </w:r>
      <w:r w:rsidR="00662467">
        <w:rPr>
          <w:rFonts w:ascii="Arial" w:hAnsi="Arial"/>
          <w:b/>
          <w:sz w:val="28"/>
          <w:szCs w:val="28"/>
        </w:rPr>
        <w:t>1994/2025</w:t>
      </w:r>
    </w:p>
    <w:p w14:paraId="1D5145C0" w14:textId="77777777" w:rsidR="00FA2FB3" w:rsidRPr="0070709C" w:rsidRDefault="00FA2FB3" w:rsidP="00FA2FB3">
      <w:pPr>
        <w:jc w:val="center"/>
        <w:rPr>
          <w:rFonts w:ascii="Arial" w:hAnsi="Arial" w:cs="Arial"/>
        </w:rPr>
      </w:pPr>
    </w:p>
    <w:p w14:paraId="51ED99A9" w14:textId="25954E61" w:rsidR="00FA2FB3" w:rsidRPr="00603336" w:rsidRDefault="00FA2FB3" w:rsidP="00FA2FB3">
      <w:pPr>
        <w:jc w:val="center"/>
        <w:rPr>
          <w:rFonts w:ascii="Arial" w:hAnsi="Arial" w:cs="Arial"/>
          <w:b/>
          <w:sz w:val="24"/>
          <w:szCs w:val="24"/>
        </w:rPr>
      </w:pPr>
      <w:r w:rsidRPr="00603336">
        <w:rPr>
          <w:rFonts w:ascii="Arial" w:hAnsi="Arial" w:cs="Arial"/>
          <w:b/>
          <w:sz w:val="24"/>
          <w:szCs w:val="24"/>
        </w:rPr>
        <w:t xml:space="preserve">(SB Jagd- und Sportwaffen </w:t>
      </w:r>
      <w:r w:rsidR="00662467">
        <w:rPr>
          <w:rFonts w:ascii="Arial" w:hAnsi="Arial" w:cs="Arial"/>
          <w:b/>
          <w:sz w:val="24"/>
          <w:szCs w:val="24"/>
        </w:rPr>
        <w:t>1994/2025</w:t>
      </w:r>
      <w:r w:rsidRPr="00603336">
        <w:rPr>
          <w:rFonts w:ascii="Arial" w:hAnsi="Arial" w:cs="Arial"/>
          <w:b/>
          <w:sz w:val="24"/>
          <w:szCs w:val="24"/>
        </w:rPr>
        <w:t>)</w:t>
      </w:r>
    </w:p>
    <w:p w14:paraId="232CCA1A" w14:textId="77777777" w:rsidR="00FA2FB3" w:rsidRPr="0070709C" w:rsidRDefault="00FA2FB3" w:rsidP="00FA2FB3">
      <w:pPr>
        <w:jc w:val="center"/>
        <w:rPr>
          <w:rFonts w:ascii="Arial" w:hAnsi="Arial" w:cs="Arial"/>
        </w:rPr>
      </w:pPr>
    </w:p>
    <w:p w14:paraId="08521BE5" w14:textId="77777777" w:rsidR="00FA2FB3" w:rsidRPr="0070709C" w:rsidRDefault="00FA2FB3" w:rsidP="00FA2FB3">
      <w:pPr>
        <w:jc w:val="center"/>
        <w:rPr>
          <w:rFonts w:ascii="Arial" w:hAnsi="Arial" w:cs="Arial"/>
        </w:rPr>
      </w:pPr>
    </w:p>
    <w:p w14:paraId="5104C881" w14:textId="77777777" w:rsidR="00FA2FB3" w:rsidRPr="0070709C" w:rsidRDefault="00FA2FB3" w:rsidP="00FA2FB3">
      <w:pPr>
        <w:pStyle w:val="berschrift1"/>
        <w:rPr>
          <w:rFonts w:ascii="Arial" w:hAnsi="Arial" w:cs="Arial"/>
          <w:b w:val="0"/>
        </w:rPr>
      </w:pPr>
      <w:r w:rsidRPr="0070709C">
        <w:rPr>
          <w:rFonts w:ascii="Arial" w:hAnsi="Arial" w:cs="Arial"/>
          <w:b w:val="0"/>
        </w:rPr>
        <w:t>Musterbedingungen des GDV</w:t>
      </w:r>
    </w:p>
    <w:p w14:paraId="3F8CCC10" w14:textId="77777777" w:rsidR="00FA2FB3" w:rsidRPr="0070709C" w:rsidRDefault="00FA2FB3" w:rsidP="00FA2FB3">
      <w:pPr>
        <w:jc w:val="center"/>
        <w:rPr>
          <w:rFonts w:ascii="Arial" w:hAnsi="Arial"/>
        </w:rPr>
      </w:pPr>
    </w:p>
    <w:p w14:paraId="177D5B6E" w14:textId="77777777" w:rsidR="00FA2FB3" w:rsidRPr="0070709C" w:rsidRDefault="00FA2FB3" w:rsidP="00FA2FB3">
      <w:pPr>
        <w:jc w:val="both"/>
        <w:rPr>
          <w:rFonts w:ascii="Arial" w:hAnsi="Arial"/>
          <w:b/>
          <w:sz w:val="18"/>
          <w:szCs w:val="18"/>
        </w:rPr>
      </w:pPr>
    </w:p>
    <w:p w14:paraId="3F2947BA" w14:textId="77777777" w:rsidR="00FA2FB3" w:rsidRPr="0070709C" w:rsidRDefault="00FA2FB3" w:rsidP="00FA2FB3">
      <w:pPr>
        <w:jc w:val="both"/>
        <w:rPr>
          <w:rFonts w:ascii="Arial" w:hAnsi="Arial"/>
          <w:sz w:val="18"/>
        </w:rPr>
      </w:pPr>
    </w:p>
    <w:p w14:paraId="2DB19053" w14:textId="77777777" w:rsidR="00603336" w:rsidRDefault="00603336" w:rsidP="00E2003B">
      <w:pPr>
        <w:jc w:val="both"/>
        <w:rPr>
          <w:rFonts w:ascii="Arial" w:hAnsi="Arial"/>
          <w:sz w:val="18"/>
        </w:rPr>
        <w:sectPr w:rsidR="00603336" w:rsidSect="00FA2FB3">
          <w:footerReference w:type="default" r:id="rId10"/>
          <w:headerReference w:type="first" r:id="rId11"/>
          <w:footerReference w:type="first" r:id="rId12"/>
          <w:endnotePr>
            <w:numFmt w:val="decimal"/>
          </w:endnotePr>
          <w:type w:val="continuous"/>
          <w:pgSz w:w="11907" w:h="16840" w:code="9"/>
          <w:pgMar w:top="1066" w:right="850" w:bottom="567" w:left="850" w:header="357" w:footer="351" w:gutter="0"/>
          <w:pgNumType w:start="1"/>
          <w:cols w:space="567"/>
          <w:noEndnote/>
          <w:titlePg/>
          <w:docGrid w:linePitch="272"/>
        </w:sectPr>
      </w:pPr>
    </w:p>
    <w:p w14:paraId="0FFA8D42" w14:textId="4F3C2C32" w:rsidR="00FA2FB3" w:rsidRDefault="00A3798B" w:rsidP="00FA2FB3">
      <w:pPr>
        <w:spacing w:after="100"/>
        <w:jc w:val="both"/>
        <w:rPr>
          <w:rFonts w:ascii="Arial" w:hAnsi="Arial"/>
          <w:sz w:val="18"/>
        </w:rPr>
      </w:pPr>
      <w:r w:rsidRPr="0070709C">
        <w:rPr>
          <w:rFonts w:ascii="Arial" w:hAnsi="Arial"/>
          <w:sz w:val="18"/>
        </w:rPr>
        <w:t>Die Ziffern 9 und 12 der „Allgemeinen Versicherungs-Bedingungen für die Versicherung von Jagd- und Sportwaffen nebst Zubehör 1994, Fassung 20</w:t>
      </w:r>
      <w:r w:rsidR="005A764A">
        <w:rPr>
          <w:rFonts w:ascii="Arial" w:hAnsi="Arial"/>
          <w:sz w:val="18"/>
        </w:rPr>
        <w:t>2</w:t>
      </w:r>
      <w:r w:rsidR="004057AF">
        <w:rPr>
          <w:rFonts w:ascii="Arial" w:hAnsi="Arial"/>
          <w:sz w:val="18"/>
        </w:rPr>
        <w:t>5</w:t>
      </w:r>
      <w:r w:rsidRPr="0070709C">
        <w:rPr>
          <w:rFonts w:ascii="Arial" w:hAnsi="Arial"/>
          <w:sz w:val="18"/>
        </w:rPr>
        <w:t>“ werden durch die nachfolgenden Bedingungen ersetzt:</w:t>
      </w:r>
    </w:p>
    <w:p w14:paraId="1A09CCEF" w14:textId="77777777" w:rsidR="00FA2FB3" w:rsidRDefault="00A3798B" w:rsidP="00FA2FB3">
      <w:pPr>
        <w:spacing w:after="100"/>
        <w:ind w:left="709" w:hanging="709"/>
        <w:jc w:val="both"/>
        <w:rPr>
          <w:rFonts w:ascii="Arial" w:hAnsi="Arial"/>
          <w:sz w:val="18"/>
        </w:rPr>
      </w:pPr>
      <w:r w:rsidRPr="0070709C">
        <w:rPr>
          <w:rFonts w:ascii="Arial" w:hAnsi="Arial"/>
          <w:sz w:val="18"/>
        </w:rPr>
        <w:t>1</w:t>
      </w:r>
      <w:r w:rsidRPr="0070709C">
        <w:rPr>
          <w:rFonts w:ascii="Arial" w:hAnsi="Arial"/>
          <w:sz w:val="18"/>
        </w:rPr>
        <w:tab/>
        <w:t>Als Versicherungswert gilt der allgemein gültige Wiederbeschaffungspreis (Neuwert) nach den bei Eintritt des Versicherungsfalles geltenden Preisen.</w:t>
      </w:r>
    </w:p>
    <w:p w14:paraId="0507A9E5" w14:textId="77777777" w:rsidR="00FA2FB3" w:rsidRDefault="00A3798B" w:rsidP="00FA2FB3">
      <w:pPr>
        <w:spacing w:after="100"/>
        <w:ind w:left="709" w:hanging="709"/>
        <w:jc w:val="both"/>
        <w:rPr>
          <w:rFonts w:ascii="Arial" w:hAnsi="Arial"/>
          <w:sz w:val="18"/>
        </w:rPr>
      </w:pPr>
      <w:r w:rsidRPr="0070709C">
        <w:rPr>
          <w:rFonts w:ascii="Arial" w:hAnsi="Arial"/>
          <w:sz w:val="18"/>
        </w:rPr>
        <w:t>2</w:t>
      </w:r>
      <w:r w:rsidRPr="0070709C">
        <w:rPr>
          <w:rFonts w:ascii="Arial" w:hAnsi="Arial"/>
          <w:sz w:val="18"/>
        </w:rPr>
        <w:tab/>
        <w:t xml:space="preserve">Bei Totalverlust aller bzw. einzelner versicherter Gegenstände bzw. bei einer dem Totalverlust gleichzusetzenden Reparaturunwürdigkeit ersetzt der Versicherer den Neuwert am Schadentag bis zur Höhe der vollen bzw. anteiligen Versicherungssumme. </w:t>
      </w:r>
    </w:p>
    <w:p w14:paraId="120D6B18" w14:textId="77777777" w:rsidR="00FA2FB3" w:rsidRDefault="00A3798B" w:rsidP="00FA2FB3">
      <w:pPr>
        <w:spacing w:after="100"/>
        <w:ind w:left="709" w:hanging="709"/>
        <w:jc w:val="both"/>
        <w:rPr>
          <w:rFonts w:ascii="Arial" w:hAnsi="Arial"/>
          <w:sz w:val="18"/>
        </w:rPr>
      </w:pPr>
      <w:r w:rsidRPr="0070709C">
        <w:rPr>
          <w:rFonts w:ascii="Arial" w:hAnsi="Arial"/>
          <w:sz w:val="18"/>
        </w:rPr>
        <w:tab/>
        <w:t>Reparaturunwürdigkeit liegt vor, wenn die Wiederherstellungs- oder Neubeschaffungskosten der Teilstücke einschließlich der Nebenkosten den Neuwert des betreffenden versicherten Gegenstandes am Schadentag erreichen oder überschreiten.</w:t>
      </w:r>
    </w:p>
    <w:p w14:paraId="27D23456" w14:textId="77777777" w:rsidR="00FA2FB3" w:rsidRDefault="00FA2FB3" w:rsidP="00FA2FB3">
      <w:pPr>
        <w:spacing w:after="100"/>
        <w:ind w:left="709" w:hanging="709"/>
        <w:jc w:val="both"/>
        <w:rPr>
          <w:rFonts w:ascii="Arial" w:hAnsi="Arial"/>
          <w:sz w:val="18"/>
        </w:rPr>
      </w:pPr>
      <w:r>
        <w:rPr>
          <w:rFonts w:ascii="Arial" w:hAnsi="Arial"/>
          <w:sz w:val="18"/>
        </w:rPr>
        <w:br w:type="column"/>
      </w:r>
      <w:r w:rsidR="00A3798B" w:rsidRPr="0070709C">
        <w:rPr>
          <w:rFonts w:ascii="Arial" w:hAnsi="Arial"/>
          <w:sz w:val="18"/>
        </w:rPr>
        <w:t>3</w:t>
      </w:r>
      <w:r w:rsidR="00A3798B" w:rsidRPr="0070709C">
        <w:rPr>
          <w:rFonts w:ascii="Arial" w:hAnsi="Arial"/>
          <w:sz w:val="18"/>
        </w:rPr>
        <w:tab/>
        <w:t>Bei Beschädigung der versicherten Gegenstände ersetzt der Versicherer die erforderlichen und vom Versicherungsnehmer nachzuweisenden Reparaturkosten. Wertminderungsansprüche bleiben ausgeschlossen.</w:t>
      </w:r>
    </w:p>
    <w:p w14:paraId="462E9F0F" w14:textId="77777777" w:rsidR="00FA2FB3" w:rsidRDefault="00A3798B" w:rsidP="00FA2FB3">
      <w:pPr>
        <w:spacing w:after="100"/>
        <w:ind w:left="709" w:hanging="709"/>
        <w:jc w:val="both"/>
        <w:rPr>
          <w:rFonts w:ascii="Arial" w:hAnsi="Arial"/>
          <w:sz w:val="18"/>
        </w:rPr>
      </w:pPr>
      <w:r w:rsidRPr="0070709C">
        <w:rPr>
          <w:rFonts w:ascii="Arial" w:hAnsi="Arial" w:cs="Arial"/>
          <w:sz w:val="18"/>
        </w:rPr>
        <w:t>4</w:t>
      </w:r>
      <w:r w:rsidRPr="0070709C">
        <w:rPr>
          <w:rFonts w:ascii="Arial" w:hAnsi="Arial" w:cs="Arial"/>
          <w:sz w:val="18"/>
        </w:rPr>
        <w:tab/>
      </w:r>
      <w:r w:rsidRPr="0070709C">
        <w:rPr>
          <w:rFonts w:ascii="Arial" w:hAnsi="Arial"/>
          <w:sz w:val="18"/>
        </w:rPr>
        <w:t>Ist der Zeitwert einer Sache geringer als der in dem Versicherungsvertrag vereinbarte Prozentsatz des Neuwerts, so gilt als Versicherungswert der Zeitwert. Das ist derjenige Betrag, der erforderlich ist, um Gegenstände gleicher Art und Qualität am Tage des Schadens anzuschaffen unter billiger Berücksichtigung des sich aus dem Unterschied zwischen neu und alt ergebenden Minderwertes.</w:t>
      </w:r>
    </w:p>
    <w:p w14:paraId="0598D7CC" w14:textId="77777777" w:rsidR="00FA2FB3" w:rsidRDefault="00A3798B" w:rsidP="00FA2FB3">
      <w:pPr>
        <w:spacing w:after="100"/>
        <w:ind w:left="709" w:hanging="709"/>
        <w:jc w:val="both"/>
        <w:rPr>
          <w:rFonts w:ascii="Arial" w:hAnsi="Arial"/>
          <w:sz w:val="18"/>
        </w:rPr>
      </w:pPr>
      <w:r w:rsidRPr="0070709C">
        <w:rPr>
          <w:rFonts w:ascii="Arial" w:hAnsi="Arial" w:cs="Arial"/>
          <w:sz w:val="18"/>
        </w:rPr>
        <w:t>5</w:t>
      </w:r>
      <w:r w:rsidRPr="0070709C">
        <w:rPr>
          <w:rFonts w:ascii="Arial" w:hAnsi="Arial" w:cs="Arial"/>
          <w:sz w:val="18"/>
        </w:rPr>
        <w:tab/>
      </w:r>
      <w:r w:rsidRPr="0070709C">
        <w:rPr>
          <w:rFonts w:ascii="Arial" w:hAnsi="Arial"/>
          <w:sz w:val="18"/>
        </w:rPr>
        <w:t>Die Versicherungssumme bildet in jedem Falle die äußerste Grenze der Ersatzpflicht.</w:t>
      </w:r>
    </w:p>
    <w:p w14:paraId="539B5C50" w14:textId="77777777" w:rsidR="00A3798B" w:rsidRDefault="00A3798B" w:rsidP="00FA2FB3">
      <w:pPr>
        <w:spacing w:after="100"/>
        <w:ind w:left="709" w:hanging="709"/>
        <w:jc w:val="both"/>
        <w:rPr>
          <w:rFonts w:ascii="Arial" w:hAnsi="Arial"/>
          <w:sz w:val="18"/>
        </w:rPr>
      </w:pPr>
    </w:p>
    <w:sectPr w:rsidR="00A3798B" w:rsidSect="00FA2FB3">
      <w:endnotePr>
        <w:numFmt w:val="decimal"/>
      </w:endnotePr>
      <w:type w:val="continuous"/>
      <w:pgSz w:w="11907" w:h="16840" w:code="9"/>
      <w:pgMar w:top="1066" w:right="850" w:bottom="567" w:left="850" w:header="357" w:footer="351" w:gutter="0"/>
      <w:pgNumType w:start="1"/>
      <w:cols w:num="2" w:space="709"/>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285DF" w14:textId="77777777" w:rsidR="006205C4" w:rsidRDefault="006205C4">
      <w:pPr>
        <w:spacing w:line="20" w:lineRule="exact"/>
        <w:rPr>
          <w:sz w:val="24"/>
        </w:rPr>
      </w:pPr>
    </w:p>
  </w:endnote>
  <w:endnote w:type="continuationSeparator" w:id="0">
    <w:p w14:paraId="61222CDE" w14:textId="77777777" w:rsidR="006205C4" w:rsidRDefault="006205C4">
      <w:r>
        <w:rPr>
          <w:sz w:val="24"/>
        </w:rPr>
        <w:t xml:space="preserve"> </w:t>
      </w:r>
    </w:p>
  </w:endnote>
  <w:endnote w:type="continuationNotice" w:id="1">
    <w:p w14:paraId="283A2157" w14:textId="77777777" w:rsidR="006205C4" w:rsidRDefault="006205C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27D7" w14:textId="77777777" w:rsidR="00603336" w:rsidRPr="00603336" w:rsidRDefault="00603336" w:rsidP="00603336">
    <w:pPr>
      <w:pStyle w:val="Fuzeile"/>
      <w:jc w:val="right"/>
      <w:rPr>
        <w:rFonts w:ascii="Arial" w:hAnsi="Arial" w:cs="Arial"/>
        <w:sz w:val="16"/>
      </w:rPr>
    </w:pPr>
    <w:r w:rsidRPr="00603336">
      <w:rPr>
        <w:rFonts w:ascii="Arial" w:hAnsi="Arial" w:cs="Arial"/>
        <w:sz w:val="16"/>
      </w:rPr>
      <w:fldChar w:fldCharType="begin"/>
    </w:r>
    <w:r w:rsidRPr="00603336">
      <w:rPr>
        <w:rFonts w:ascii="Arial" w:hAnsi="Arial" w:cs="Arial"/>
        <w:sz w:val="16"/>
      </w:rPr>
      <w:instrText xml:space="preserve"> PAGE  \* MERGEFORMAT </w:instrText>
    </w:r>
    <w:r w:rsidRPr="00603336">
      <w:rPr>
        <w:rFonts w:ascii="Arial" w:hAnsi="Arial" w:cs="Arial"/>
        <w:sz w:val="16"/>
      </w:rPr>
      <w:fldChar w:fldCharType="separate"/>
    </w:r>
    <w:r w:rsidR="00FA2FB3">
      <w:rPr>
        <w:rFonts w:ascii="Arial" w:hAnsi="Arial" w:cs="Arial"/>
        <w:noProof/>
        <w:sz w:val="16"/>
      </w:rPr>
      <w:t>1</w:t>
    </w:r>
    <w:r w:rsidRPr="00603336">
      <w:rPr>
        <w:rFonts w:ascii="Arial" w:hAnsi="Arial" w:cs="Arial"/>
        <w:sz w:val="16"/>
      </w:rPr>
      <w:fldChar w:fldCharType="end"/>
    </w:r>
    <w:r w:rsidRPr="00603336">
      <w:rPr>
        <w:rFonts w:ascii="Arial" w:hAnsi="Arial" w:cs="Arial"/>
        <w:sz w:val="16"/>
      </w:rPr>
      <w:t>/</w:t>
    </w:r>
    <w:r w:rsidRPr="00603336">
      <w:rPr>
        <w:rFonts w:ascii="Arial" w:hAnsi="Arial" w:cs="Arial"/>
        <w:sz w:val="16"/>
      </w:rPr>
      <w:fldChar w:fldCharType="begin"/>
    </w:r>
    <w:r w:rsidRPr="00603336">
      <w:rPr>
        <w:rFonts w:ascii="Arial" w:hAnsi="Arial" w:cs="Arial"/>
        <w:sz w:val="16"/>
      </w:rPr>
      <w:instrText xml:space="preserve"> NUMPAGES  \* MERGEFORMAT </w:instrText>
    </w:r>
    <w:r w:rsidRPr="00603336">
      <w:rPr>
        <w:rFonts w:ascii="Arial" w:hAnsi="Arial" w:cs="Arial"/>
        <w:sz w:val="16"/>
      </w:rPr>
      <w:fldChar w:fldCharType="separate"/>
    </w:r>
    <w:r w:rsidRPr="00603336">
      <w:rPr>
        <w:rFonts w:ascii="Arial" w:hAnsi="Arial" w:cs="Arial"/>
        <w:noProof/>
        <w:sz w:val="16"/>
      </w:rPr>
      <w:t>1</w:t>
    </w:r>
    <w:r w:rsidRPr="00603336">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D51C" w14:textId="0E8F7CA7" w:rsidR="00FA2FB3" w:rsidRPr="00FA2FB3" w:rsidRDefault="00662467" w:rsidP="00FA2FB3">
    <w:pPr>
      <w:pStyle w:val="Fuzeile"/>
      <w:tabs>
        <w:tab w:val="clear" w:pos="4536"/>
        <w:tab w:val="clear" w:pos="9072"/>
        <w:tab w:val="left" w:pos="9213"/>
        <w:tab w:val="right" w:pos="10205"/>
      </w:tabs>
      <w:rPr>
        <w:rFonts w:ascii="Arial" w:hAnsi="Arial" w:cs="Arial"/>
        <w:sz w:val="16"/>
      </w:rPr>
    </w:pPr>
    <w:r w:rsidRPr="00FA2FB3">
      <w:rPr>
        <w:rFonts w:ascii="Arial" w:hAnsi="Arial" w:cs="Arial"/>
        <w:noProof/>
        <w:sz w:val="16"/>
      </w:rPr>
      <mc:AlternateContent>
        <mc:Choice Requires="wps">
          <w:drawing>
            <wp:anchor distT="0" distB="0" distL="114300" distR="114300" simplePos="0" relativeHeight="251657216" behindDoc="1" locked="1" layoutInCell="0" allowOverlap="1" wp14:anchorId="5BD59B57" wp14:editId="58C4BCE5">
              <wp:simplePos x="0" y="0"/>
              <wp:positionH relativeFrom="column">
                <wp:posOffset>10795</wp:posOffset>
              </wp:positionH>
              <wp:positionV relativeFrom="paragraph">
                <wp:posOffset>-17780</wp:posOffset>
              </wp:positionV>
              <wp:extent cx="457200" cy="0"/>
              <wp:effectExtent l="0" t="0" r="0" b="0"/>
              <wp:wrapNone/>
              <wp:docPr id="31539020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F125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FA2FB3" w:rsidRPr="00FA2FB3">
      <w:rPr>
        <w:rFonts w:ascii="Arial" w:hAnsi="Arial" w:cs="Arial"/>
        <w:sz w:val="16"/>
      </w:rPr>
      <w:t>SB Jagd- und Sportwaffen 1994/20</w:t>
    </w:r>
    <w:r w:rsidR="005A764A">
      <w:rPr>
        <w:rFonts w:ascii="Arial" w:hAnsi="Arial" w:cs="Arial"/>
        <w:sz w:val="16"/>
      </w:rPr>
      <w:t>2</w:t>
    </w:r>
    <w:r>
      <w:rPr>
        <w:rFonts w:ascii="Arial" w:hAnsi="Arial" w:cs="Arial"/>
        <w:sz w:val="16"/>
      </w:rPr>
      <w:t>5</w:t>
    </w:r>
    <w:r w:rsidR="00FA2FB3" w:rsidRPr="00FA2FB3">
      <w:rPr>
        <w:rFonts w:ascii="Arial" w:hAnsi="Arial" w:cs="Arial"/>
        <w:sz w:val="16"/>
      </w:rPr>
      <w:t xml:space="preserve">, </w:t>
    </w:r>
    <w:r>
      <w:rPr>
        <w:rFonts w:ascii="Arial" w:hAnsi="Arial" w:cs="Arial"/>
        <w:sz w:val="16"/>
      </w:rPr>
      <w:t>März 2025</w:t>
    </w:r>
    <w:r w:rsidR="00FA2FB3" w:rsidRPr="00FA2FB3">
      <w:rPr>
        <w:rFonts w:ascii="Arial" w:hAnsi="Arial" w:cs="Arial"/>
        <w:sz w:val="16"/>
      </w:rPr>
      <w:tab/>
      <w:t>Seite</w:t>
    </w:r>
    <w:r w:rsidR="00FA2FB3" w:rsidRPr="00FA2FB3">
      <w:rPr>
        <w:rFonts w:ascii="Arial" w:hAnsi="Arial" w:cs="Arial"/>
        <w:sz w:val="16"/>
      </w:rPr>
      <w:tab/>
    </w:r>
    <w:r w:rsidR="00FA2FB3" w:rsidRPr="00FA2FB3">
      <w:rPr>
        <w:rFonts w:ascii="Arial" w:hAnsi="Arial" w:cs="Arial"/>
        <w:sz w:val="16"/>
      </w:rPr>
      <w:fldChar w:fldCharType="begin"/>
    </w:r>
    <w:r w:rsidR="00FA2FB3" w:rsidRPr="00FA2FB3">
      <w:rPr>
        <w:rFonts w:ascii="Arial" w:hAnsi="Arial" w:cs="Arial"/>
        <w:sz w:val="16"/>
      </w:rPr>
      <w:instrText xml:space="preserve"> PAGE  \* MERGEFORMAT </w:instrText>
    </w:r>
    <w:r w:rsidR="00FA2FB3" w:rsidRPr="00FA2FB3">
      <w:rPr>
        <w:rFonts w:ascii="Arial" w:hAnsi="Arial" w:cs="Arial"/>
        <w:sz w:val="16"/>
      </w:rPr>
      <w:fldChar w:fldCharType="separate"/>
    </w:r>
    <w:r w:rsidR="00F264B7">
      <w:rPr>
        <w:rFonts w:ascii="Arial" w:hAnsi="Arial" w:cs="Arial"/>
        <w:noProof/>
        <w:sz w:val="16"/>
      </w:rPr>
      <w:t>1</w:t>
    </w:r>
    <w:r w:rsidR="00FA2FB3" w:rsidRPr="00FA2FB3">
      <w:rPr>
        <w:rFonts w:ascii="Arial" w:hAnsi="Arial" w:cs="Arial"/>
        <w:sz w:val="16"/>
      </w:rPr>
      <w:fldChar w:fldCharType="end"/>
    </w:r>
    <w:r w:rsidR="00FA2FB3" w:rsidRPr="00FA2FB3">
      <w:rPr>
        <w:rFonts w:ascii="Arial" w:hAnsi="Arial" w:cs="Arial"/>
        <w:sz w:val="16"/>
      </w:rPr>
      <w:t xml:space="preserve"> / </w:t>
    </w:r>
    <w:r w:rsidR="00FA2FB3" w:rsidRPr="00FA2FB3">
      <w:rPr>
        <w:rFonts w:ascii="Arial" w:hAnsi="Arial" w:cs="Arial"/>
        <w:sz w:val="16"/>
      </w:rPr>
      <w:fldChar w:fldCharType="begin"/>
    </w:r>
    <w:r w:rsidR="00FA2FB3" w:rsidRPr="00FA2FB3">
      <w:rPr>
        <w:rFonts w:ascii="Arial" w:hAnsi="Arial" w:cs="Arial"/>
        <w:sz w:val="16"/>
      </w:rPr>
      <w:instrText xml:space="preserve"> NUMPAGES  \* MERGEFORMAT </w:instrText>
    </w:r>
    <w:r w:rsidR="00FA2FB3" w:rsidRPr="00FA2FB3">
      <w:rPr>
        <w:rFonts w:ascii="Arial" w:hAnsi="Arial" w:cs="Arial"/>
        <w:sz w:val="16"/>
      </w:rPr>
      <w:fldChar w:fldCharType="separate"/>
    </w:r>
    <w:r w:rsidR="00F264B7">
      <w:rPr>
        <w:rFonts w:ascii="Arial" w:hAnsi="Arial" w:cs="Arial"/>
        <w:noProof/>
        <w:sz w:val="16"/>
      </w:rPr>
      <w:t>1</w:t>
    </w:r>
    <w:r w:rsidR="00FA2FB3" w:rsidRPr="00FA2FB3">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CB52" w14:textId="77777777" w:rsidR="006205C4" w:rsidRDefault="006205C4">
      <w:r>
        <w:rPr>
          <w:sz w:val="24"/>
        </w:rPr>
        <w:separator/>
      </w:r>
    </w:p>
  </w:footnote>
  <w:footnote w:type="continuationSeparator" w:id="0">
    <w:p w14:paraId="78F8D324" w14:textId="77777777" w:rsidR="006205C4" w:rsidRDefault="00620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FFB4" w14:textId="77777777" w:rsidR="00F264B7" w:rsidRDefault="00F264B7" w:rsidP="00FA2FB3">
    <w:pPr>
      <w:pStyle w:val="Kopfzeile"/>
      <w:pBdr>
        <w:bottom w:val="single" w:sz="4" w:space="1" w:color="auto"/>
      </w:pBdr>
      <w:spacing w:after="100"/>
      <w:rPr>
        <w:rFonts w:ascii="Arial" w:hAnsi="Arial" w:cs="Arial"/>
        <w:b/>
        <w:sz w:val="24"/>
      </w:rPr>
    </w:pPr>
  </w:p>
  <w:p w14:paraId="6087703C" w14:textId="77777777" w:rsidR="00F264B7" w:rsidRDefault="00F264B7" w:rsidP="00FA2FB3">
    <w:pPr>
      <w:pStyle w:val="Kopfzeile"/>
      <w:pBdr>
        <w:bottom w:val="single" w:sz="4" w:space="1" w:color="auto"/>
      </w:pBdr>
      <w:spacing w:after="100"/>
      <w:rPr>
        <w:rFonts w:ascii="Arial" w:hAnsi="Arial" w:cs="Arial"/>
        <w:b/>
        <w:sz w:val="24"/>
      </w:rPr>
    </w:pPr>
  </w:p>
  <w:p w14:paraId="46E99174" w14:textId="77777777" w:rsidR="00F264B7" w:rsidRDefault="00F264B7" w:rsidP="00FA2FB3">
    <w:pPr>
      <w:pStyle w:val="Kopfzeile"/>
      <w:pBdr>
        <w:bottom w:val="single" w:sz="4" w:space="1" w:color="auto"/>
      </w:pBdr>
      <w:spacing w:after="100"/>
      <w:rPr>
        <w:rFonts w:ascii="Arial" w:hAnsi="Arial" w:cs="Arial"/>
        <w:b/>
        <w:sz w:val="24"/>
      </w:rPr>
    </w:pPr>
  </w:p>
  <w:p w14:paraId="097DD8F3" w14:textId="58FF8143" w:rsidR="00FA2FB3" w:rsidRPr="00FA2FB3" w:rsidRDefault="00662467" w:rsidP="00FA2FB3">
    <w:pPr>
      <w:pStyle w:val="Kopfzeile"/>
      <w:pBdr>
        <w:bottom w:val="single" w:sz="4" w:space="1" w:color="auto"/>
      </w:pBdr>
      <w:spacing w:after="100"/>
      <w:rPr>
        <w:rFonts w:ascii="Arial" w:hAnsi="Arial" w:cs="Arial"/>
        <w:b/>
        <w:sz w:val="24"/>
      </w:rPr>
    </w:pPr>
    <w:r>
      <w:rPr>
        <w:rFonts w:ascii="Arial" w:hAnsi="Arial" w:cs="Arial"/>
        <w:b/>
        <w:noProof/>
        <w:sz w:val="24"/>
      </w:rPr>
      <w:drawing>
        <wp:anchor distT="0" distB="0" distL="114300" distR="114300" simplePos="0" relativeHeight="251658240" behindDoc="0" locked="0" layoutInCell="0" allowOverlap="1" wp14:anchorId="117BF794" wp14:editId="5277CCFA">
          <wp:simplePos x="0" y="0"/>
          <wp:positionH relativeFrom="column">
            <wp:posOffset>0</wp:posOffset>
          </wp:positionH>
          <wp:positionV relativeFrom="paragraph">
            <wp:posOffset>-437515</wp:posOffset>
          </wp:positionV>
          <wp:extent cx="2343150" cy="409575"/>
          <wp:effectExtent l="0" t="0" r="0" b="0"/>
          <wp:wrapNone/>
          <wp:docPr id="6" name="Bild 6"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F89288" w14:textId="77777777" w:rsidR="00FA2FB3" w:rsidRPr="00FA2FB3" w:rsidRDefault="00FA2FB3" w:rsidP="00FA2FB3">
    <w:pPr>
      <w:pStyle w:val="Kopfzeile"/>
      <w:pBdr>
        <w:bottom w:val="single" w:sz="4" w:space="1" w:color="auto"/>
      </w:pBdr>
      <w:jc w:val="center"/>
      <w:rPr>
        <w:rFonts w:ascii="Arial" w:hAnsi="Arial" w:cs="Arial"/>
      </w:rPr>
    </w:pPr>
    <w:r w:rsidRPr="00FA2FB3">
      <w:rPr>
        <w:rFonts w:ascii="Arial" w:hAnsi="Arial" w:cs="Arial"/>
      </w:rPr>
      <w:t>Unverbindliche Bekanntgabe des Gesamtverbandes der Deutschen Versicherungswirtschaft e. V. (GDV)</w:t>
    </w:r>
    <w:r w:rsidRPr="00FA2FB3">
      <w:rPr>
        <w:rFonts w:ascii="Arial" w:hAnsi="Arial" w:cs="Arial"/>
      </w:rPr>
      <w:br/>
      <w:t>zur fakultativen Verwendung. Abweichende Vereinbarungen sind möglich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0A57D4"/>
    <w:lvl w:ilvl="0">
      <w:numFmt w:val="decimal"/>
      <w:pStyle w:val="aaadejongAufzStrich"/>
      <w:lvlText w:val="*"/>
      <w:lvlJc w:val="left"/>
    </w:lvl>
  </w:abstractNum>
  <w:abstractNum w:abstractNumId="1" w15:restartNumberingAfterBreak="0">
    <w:nsid w:val="0EA929D1"/>
    <w:multiLevelType w:val="hybridMultilevel"/>
    <w:tmpl w:val="CCEE63A6"/>
    <w:lvl w:ilvl="0" w:tplc="EDA8CE12">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019A1"/>
    <w:multiLevelType w:val="hybridMultilevel"/>
    <w:tmpl w:val="D43240AE"/>
    <w:lvl w:ilvl="0" w:tplc="EDA8CE12">
      <w:start w:val="1"/>
      <w:numFmt w:val="bullet"/>
      <w:lvlText w:val=""/>
      <w:lvlJc w:val="left"/>
      <w:pPr>
        <w:tabs>
          <w:tab w:val="num" w:pos="927"/>
        </w:tabs>
        <w:ind w:left="927" w:hanging="357"/>
      </w:pPr>
      <w:rPr>
        <w:rFonts w:ascii="Symbol" w:hAnsi="Symbol" w:hint="default"/>
      </w:rPr>
    </w:lvl>
    <w:lvl w:ilvl="1" w:tplc="04070003" w:tentative="1">
      <w:start w:val="1"/>
      <w:numFmt w:val="bullet"/>
      <w:lvlText w:val="o"/>
      <w:lvlJc w:val="left"/>
      <w:pPr>
        <w:tabs>
          <w:tab w:val="num" w:pos="2010"/>
        </w:tabs>
        <w:ind w:left="2010" w:hanging="360"/>
      </w:pPr>
      <w:rPr>
        <w:rFonts w:ascii="Courier New" w:hAnsi="Courier New" w:cs="Courier New" w:hint="default"/>
      </w:rPr>
    </w:lvl>
    <w:lvl w:ilvl="2" w:tplc="04070005" w:tentative="1">
      <w:start w:val="1"/>
      <w:numFmt w:val="bullet"/>
      <w:lvlText w:val=""/>
      <w:lvlJc w:val="left"/>
      <w:pPr>
        <w:tabs>
          <w:tab w:val="num" w:pos="2730"/>
        </w:tabs>
        <w:ind w:left="2730" w:hanging="360"/>
      </w:pPr>
      <w:rPr>
        <w:rFonts w:ascii="Wingdings" w:hAnsi="Wingdings" w:hint="default"/>
      </w:rPr>
    </w:lvl>
    <w:lvl w:ilvl="3" w:tplc="04070001" w:tentative="1">
      <w:start w:val="1"/>
      <w:numFmt w:val="bullet"/>
      <w:lvlText w:val=""/>
      <w:lvlJc w:val="left"/>
      <w:pPr>
        <w:tabs>
          <w:tab w:val="num" w:pos="3450"/>
        </w:tabs>
        <w:ind w:left="3450" w:hanging="360"/>
      </w:pPr>
      <w:rPr>
        <w:rFonts w:ascii="Symbol" w:hAnsi="Symbol" w:hint="default"/>
      </w:rPr>
    </w:lvl>
    <w:lvl w:ilvl="4" w:tplc="04070003" w:tentative="1">
      <w:start w:val="1"/>
      <w:numFmt w:val="bullet"/>
      <w:lvlText w:val="o"/>
      <w:lvlJc w:val="left"/>
      <w:pPr>
        <w:tabs>
          <w:tab w:val="num" w:pos="4170"/>
        </w:tabs>
        <w:ind w:left="4170" w:hanging="360"/>
      </w:pPr>
      <w:rPr>
        <w:rFonts w:ascii="Courier New" w:hAnsi="Courier New" w:cs="Courier New" w:hint="default"/>
      </w:rPr>
    </w:lvl>
    <w:lvl w:ilvl="5" w:tplc="04070005" w:tentative="1">
      <w:start w:val="1"/>
      <w:numFmt w:val="bullet"/>
      <w:lvlText w:val=""/>
      <w:lvlJc w:val="left"/>
      <w:pPr>
        <w:tabs>
          <w:tab w:val="num" w:pos="4890"/>
        </w:tabs>
        <w:ind w:left="4890" w:hanging="360"/>
      </w:pPr>
      <w:rPr>
        <w:rFonts w:ascii="Wingdings" w:hAnsi="Wingdings" w:hint="default"/>
      </w:rPr>
    </w:lvl>
    <w:lvl w:ilvl="6" w:tplc="04070001" w:tentative="1">
      <w:start w:val="1"/>
      <w:numFmt w:val="bullet"/>
      <w:lvlText w:val=""/>
      <w:lvlJc w:val="left"/>
      <w:pPr>
        <w:tabs>
          <w:tab w:val="num" w:pos="5610"/>
        </w:tabs>
        <w:ind w:left="5610" w:hanging="360"/>
      </w:pPr>
      <w:rPr>
        <w:rFonts w:ascii="Symbol" w:hAnsi="Symbol" w:hint="default"/>
      </w:rPr>
    </w:lvl>
    <w:lvl w:ilvl="7" w:tplc="04070003" w:tentative="1">
      <w:start w:val="1"/>
      <w:numFmt w:val="bullet"/>
      <w:lvlText w:val="o"/>
      <w:lvlJc w:val="left"/>
      <w:pPr>
        <w:tabs>
          <w:tab w:val="num" w:pos="6330"/>
        </w:tabs>
        <w:ind w:left="6330" w:hanging="360"/>
      </w:pPr>
      <w:rPr>
        <w:rFonts w:ascii="Courier New" w:hAnsi="Courier New" w:cs="Courier New" w:hint="default"/>
      </w:rPr>
    </w:lvl>
    <w:lvl w:ilvl="8" w:tplc="04070005" w:tentative="1">
      <w:start w:val="1"/>
      <w:numFmt w:val="bullet"/>
      <w:lvlText w:val=""/>
      <w:lvlJc w:val="left"/>
      <w:pPr>
        <w:tabs>
          <w:tab w:val="num" w:pos="7050"/>
        </w:tabs>
        <w:ind w:left="7050" w:hanging="360"/>
      </w:pPr>
      <w:rPr>
        <w:rFonts w:ascii="Wingdings" w:hAnsi="Wingdings" w:hint="default"/>
      </w:rPr>
    </w:lvl>
  </w:abstractNum>
  <w:abstractNum w:abstractNumId="3" w15:restartNumberingAfterBreak="0">
    <w:nsid w:val="25E15E4D"/>
    <w:multiLevelType w:val="hybridMultilevel"/>
    <w:tmpl w:val="8FFE96BE"/>
    <w:lvl w:ilvl="0" w:tplc="E0F0EAD4">
      <w:start w:val="3"/>
      <w:numFmt w:val="decimal"/>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657178C"/>
    <w:multiLevelType w:val="hybridMultilevel"/>
    <w:tmpl w:val="2F621AB6"/>
    <w:lvl w:ilvl="0" w:tplc="EDA8CE12">
      <w:start w:val="1"/>
      <w:numFmt w:val="bullet"/>
      <w:lvlText w:val=""/>
      <w:lvlJc w:val="left"/>
      <w:pPr>
        <w:tabs>
          <w:tab w:val="num" w:pos="1062"/>
        </w:tabs>
        <w:ind w:left="1062" w:hanging="357"/>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3CD274B2"/>
    <w:multiLevelType w:val="multilevel"/>
    <w:tmpl w:val="6066B6A0"/>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57"/>
        </w:tabs>
        <w:ind w:left="357" w:hanging="357"/>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1E6544D"/>
    <w:multiLevelType w:val="hybridMultilevel"/>
    <w:tmpl w:val="27E4C92A"/>
    <w:lvl w:ilvl="0" w:tplc="5F98D676">
      <w:start w:val="2"/>
      <w:numFmt w:val="bullet"/>
      <w:lvlText w:val="-"/>
      <w:lvlJc w:val="left"/>
      <w:pPr>
        <w:tabs>
          <w:tab w:val="num" w:pos="930"/>
        </w:tabs>
        <w:ind w:left="930" w:hanging="360"/>
      </w:pPr>
      <w:rPr>
        <w:rFonts w:ascii="Arial" w:eastAsia="Times New Roman" w:hAnsi="Arial" w:cs="Arial" w:hint="default"/>
      </w:rPr>
    </w:lvl>
    <w:lvl w:ilvl="1" w:tplc="04070003" w:tentative="1">
      <w:start w:val="1"/>
      <w:numFmt w:val="bullet"/>
      <w:lvlText w:val="o"/>
      <w:lvlJc w:val="left"/>
      <w:pPr>
        <w:tabs>
          <w:tab w:val="num" w:pos="1650"/>
        </w:tabs>
        <w:ind w:left="1650" w:hanging="360"/>
      </w:pPr>
      <w:rPr>
        <w:rFonts w:ascii="Courier New" w:hAnsi="Courier New" w:cs="Courier New" w:hint="default"/>
      </w:rPr>
    </w:lvl>
    <w:lvl w:ilvl="2" w:tplc="04070005" w:tentative="1">
      <w:start w:val="1"/>
      <w:numFmt w:val="bullet"/>
      <w:lvlText w:val=""/>
      <w:lvlJc w:val="left"/>
      <w:pPr>
        <w:tabs>
          <w:tab w:val="num" w:pos="2370"/>
        </w:tabs>
        <w:ind w:left="2370" w:hanging="360"/>
      </w:pPr>
      <w:rPr>
        <w:rFonts w:ascii="Wingdings" w:hAnsi="Wingdings" w:hint="default"/>
      </w:rPr>
    </w:lvl>
    <w:lvl w:ilvl="3" w:tplc="04070001" w:tentative="1">
      <w:start w:val="1"/>
      <w:numFmt w:val="bullet"/>
      <w:lvlText w:val=""/>
      <w:lvlJc w:val="left"/>
      <w:pPr>
        <w:tabs>
          <w:tab w:val="num" w:pos="3090"/>
        </w:tabs>
        <w:ind w:left="3090" w:hanging="360"/>
      </w:pPr>
      <w:rPr>
        <w:rFonts w:ascii="Symbol" w:hAnsi="Symbol" w:hint="default"/>
      </w:rPr>
    </w:lvl>
    <w:lvl w:ilvl="4" w:tplc="04070003" w:tentative="1">
      <w:start w:val="1"/>
      <w:numFmt w:val="bullet"/>
      <w:lvlText w:val="o"/>
      <w:lvlJc w:val="left"/>
      <w:pPr>
        <w:tabs>
          <w:tab w:val="num" w:pos="3810"/>
        </w:tabs>
        <w:ind w:left="3810" w:hanging="360"/>
      </w:pPr>
      <w:rPr>
        <w:rFonts w:ascii="Courier New" w:hAnsi="Courier New" w:cs="Courier New" w:hint="default"/>
      </w:rPr>
    </w:lvl>
    <w:lvl w:ilvl="5" w:tplc="04070005" w:tentative="1">
      <w:start w:val="1"/>
      <w:numFmt w:val="bullet"/>
      <w:lvlText w:val=""/>
      <w:lvlJc w:val="left"/>
      <w:pPr>
        <w:tabs>
          <w:tab w:val="num" w:pos="4530"/>
        </w:tabs>
        <w:ind w:left="4530" w:hanging="360"/>
      </w:pPr>
      <w:rPr>
        <w:rFonts w:ascii="Wingdings" w:hAnsi="Wingdings" w:hint="default"/>
      </w:rPr>
    </w:lvl>
    <w:lvl w:ilvl="6" w:tplc="04070001" w:tentative="1">
      <w:start w:val="1"/>
      <w:numFmt w:val="bullet"/>
      <w:lvlText w:val=""/>
      <w:lvlJc w:val="left"/>
      <w:pPr>
        <w:tabs>
          <w:tab w:val="num" w:pos="5250"/>
        </w:tabs>
        <w:ind w:left="5250" w:hanging="360"/>
      </w:pPr>
      <w:rPr>
        <w:rFonts w:ascii="Symbol" w:hAnsi="Symbol" w:hint="default"/>
      </w:rPr>
    </w:lvl>
    <w:lvl w:ilvl="7" w:tplc="04070003" w:tentative="1">
      <w:start w:val="1"/>
      <w:numFmt w:val="bullet"/>
      <w:lvlText w:val="o"/>
      <w:lvlJc w:val="left"/>
      <w:pPr>
        <w:tabs>
          <w:tab w:val="num" w:pos="5970"/>
        </w:tabs>
        <w:ind w:left="5970" w:hanging="360"/>
      </w:pPr>
      <w:rPr>
        <w:rFonts w:ascii="Courier New" w:hAnsi="Courier New" w:cs="Courier New" w:hint="default"/>
      </w:rPr>
    </w:lvl>
    <w:lvl w:ilvl="8" w:tplc="04070005" w:tentative="1">
      <w:start w:val="1"/>
      <w:numFmt w:val="bullet"/>
      <w:lvlText w:val=""/>
      <w:lvlJc w:val="left"/>
      <w:pPr>
        <w:tabs>
          <w:tab w:val="num" w:pos="6690"/>
        </w:tabs>
        <w:ind w:left="6690" w:hanging="360"/>
      </w:pPr>
      <w:rPr>
        <w:rFonts w:ascii="Wingdings" w:hAnsi="Wingdings" w:hint="default"/>
      </w:rPr>
    </w:lvl>
  </w:abstractNum>
  <w:abstractNum w:abstractNumId="7" w15:restartNumberingAfterBreak="0">
    <w:nsid w:val="52FF36D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56E315E5"/>
    <w:multiLevelType w:val="hybridMultilevel"/>
    <w:tmpl w:val="6964816C"/>
    <w:lvl w:ilvl="0" w:tplc="EDA8CE12">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C2501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 w15:restartNumberingAfterBreak="0">
    <w:nsid w:val="625D64ED"/>
    <w:multiLevelType w:val="multilevel"/>
    <w:tmpl w:val="528C5C94"/>
    <w:lvl w:ilvl="0">
      <w:start w:val="3"/>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652934A1"/>
    <w:multiLevelType w:val="singleLevel"/>
    <w:tmpl w:val="62467D7E"/>
    <w:lvl w:ilvl="0">
      <w:numFmt w:val="bullet"/>
      <w:lvlText w:val="-"/>
      <w:lvlJc w:val="left"/>
      <w:pPr>
        <w:tabs>
          <w:tab w:val="num" w:pos="1065"/>
        </w:tabs>
        <w:ind w:left="1065" w:hanging="360"/>
      </w:pPr>
      <w:rPr>
        <w:rFonts w:hint="default"/>
      </w:rPr>
    </w:lvl>
  </w:abstractNum>
  <w:abstractNum w:abstractNumId="12" w15:restartNumberingAfterBreak="0">
    <w:nsid w:val="6A62744D"/>
    <w:multiLevelType w:val="multilevel"/>
    <w:tmpl w:val="0A5A58F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BE27948"/>
    <w:multiLevelType w:val="singleLevel"/>
    <w:tmpl w:val="127C81B2"/>
    <w:lvl w:ilvl="0">
      <w:start w:val="2"/>
      <w:numFmt w:val="decimal"/>
      <w:lvlText w:val="2.%1 "/>
      <w:legacy w:legacy="1" w:legacySpace="0" w:legacyIndent="283"/>
      <w:lvlJc w:val="left"/>
      <w:pPr>
        <w:ind w:left="1417" w:hanging="283"/>
      </w:pPr>
      <w:rPr>
        <w:rFonts w:ascii="Times New Roman" w:hAnsi="Times New Roman" w:hint="default"/>
        <w:b/>
        <w:i w:val="0"/>
        <w:sz w:val="16"/>
        <w:u w:val="none"/>
      </w:rPr>
    </w:lvl>
  </w:abstractNum>
  <w:abstractNum w:abstractNumId="14" w15:restartNumberingAfterBreak="0">
    <w:nsid w:val="6CEF6969"/>
    <w:multiLevelType w:val="multilevel"/>
    <w:tmpl w:val="4CF4B7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DE41653"/>
    <w:multiLevelType w:val="singleLevel"/>
    <w:tmpl w:val="2FE0F154"/>
    <w:lvl w:ilvl="0">
      <w:start w:val="1"/>
      <w:numFmt w:val="decimal"/>
      <w:lvlText w:val="2.%1 "/>
      <w:legacy w:legacy="1" w:legacySpace="0" w:legacyIndent="283"/>
      <w:lvlJc w:val="left"/>
      <w:pPr>
        <w:ind w:left="1417" w:hanging="283"/>
      </w:pPr>
      <w:rPr>
        <w:rFonts w:ascii="Times New Roman" w:hAnsi="Times New Roman" w:hint="default"/>
        <w:b/>
        <w:i w:val="0"/>
        <w:sz w:val="16"/>
        <w:u w:val="none"/>
      </w:rPr>
    </w:lvl>
  </w:abstractNum>
  <w:abstractNum w:abstractNumId="16" w15:restartNumberingAfterBreak="0">
    <w:nsid w:val="75480A84"/>
    <w:multiLevelType w:val="multilevel"/>
    <w:tmpl w:val="4CF4B79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B345E7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16cid:durableId="733969106">
    <w:abstractNumId w:val="15"/>
  </w:num>
  <w:num w:numId="2" w16cid:durableId="481046123">
    <w:abstractNumId w:val="0"/>
    <w:lvlOverride w:ilvl="0">
      <w:lvl w:ilvl="0">
        <w:start w:val="1"/>
        <w:numFmt w:val="bullet"/>
        <w:pStyle w:val="aaadejongAufzStrich"/>
        <w:lvlText w:val=""/>
        <w:legacy w:legacy="1" w:legacySpace="0" w:legacyIndent="283"/>
        <w:lvlJc w:val="left"/>
        <w:pPr>
          <w:ind w:left="1417" w:hanging="283"/>
        </w:pPr>
        <w:rPr>
          <w:rFonts w:ascii="Symbol" w:hAnsi="Symbol" w:hint="default"/>
        </w:rPr>
      </w:lvl>
    </w:lvlOverride>
  </w:num>
  <w:num w:numId="3" w16cid:durableId="1933321399">
    <w:abstractNumId w:val="13"/>
  </w:num>
  <w:num w:numId="4" w16cid:durableId="744884388">
    <w:abstractNumId w:val="17"/>
  </w:num>
  <w:num w:numId="5" w16cid:durableId="985431595">
    <w:abstractNumId w:val="11"/>
  </w:num>
  <w:num w:numId="6" w16cid:durableId="96410882">
    <w:abstractNumId w:val="0"/>
    <w:lvlOverride w:ilvl="0">
      <w:lvl w:ilvl="0">
        <w:start w:val="1"/>
        <w:numFmt w:val="bullet"/>
        <w:pStyle w:val="aaadejongAufzStrich"/>
        <w:lvlText w:val=""/>
        <w:legacy w:legacy="1" w:legacySpace="0" w:legacyIndent="283"/>
        <w:lvlJc w:val="left"/>
        <w:pPr>
          <w:ind w:left="283" w:hanging="283"/>
        </w:pPr>
        <w:rPr>
          <w:rFonts w:ascii="Symbol" w:hAnsi="Symbol" w:hint="default"/>
        </w:rPr>
      </w:lvl>
    </w:lvlOverride>
  </w:num>
  <w:num w:numId="7" w16cid:durableId="345595603">
    <w:abstractNumId w:val="7"/>
  </w:num>
  <w:num w:numId="8" w16cid:durableId="128939721">
    <w:abstractNumId w:val="4"/>
  </w:num>
  <w:num w:numId="9" w16cid:durableId="1294291278">
    <w:abstractNumId w:val="9"/>
  </w:num>
  <w:num w:numId="10" w16cid:durableId="1846241576">
    <w:abstractNumId w:val="0"/>
    <w:lvlOverride w:ilvl="0">
      <w:lvl w:ilvl="0">
        <w:start w:val="1"/>
        <w:numFmt w:val="bullet"/>
        <w:pStyle w:val="aaadejongAufzStrich"/>
        <w:lvlText w:val=""/>
        <w:legacy w:legacy="1" w:legacySpace="0" w:legacyIndent="283"/>
        <w:lvlJc w:val="left"/>
        <w:pPr>
          <w:ind w:left="1134" w:hanging="283"/>
        </w:pPr>
        <w:rPr>
          <w:rFonts w:ascii="Symbol" w:hAnsi="Symbol" w:hint="default"/>
        </w:rPr>
      </w:lvl>
    </w:lvlOverride>
  </w:num>
  <w:num w:numId="11" w16cid:durableId="4017229">
    <w:abstractNumId w:val="3"/>
  </w:num>
  <w:num w:numId="12" w16cid:durableId="1570074008">
    <w:abstractNumId w:val="10"/>
  </w:num>
  <w:num w:numId="13" w16cid:durableId="894976097">
    <w:abstractNumId w:val="16"/>
  </w:num>
  <w:num w:numId="14" w16cid:durableId="2091195269">
    <w:abstractNumId w:val="14"/>
  </w:num>
  <w:num w:numId="15" w16cid:durableId="1658729795">
    <w:abstractNumId w:val="5"/>
  </w:num>
  <w:num w:numId="16" w16cid:durableId="186673622">
    <w:abstractNumId w:val="8"/>
  </w:num>
  <w:num w:numId="17" w16cid:durableId="135806143">
    <w:abstractNumId w:val="2"/>
  </w:num>
  <w:num w:numId="18" w16cid:durableId="795485527">
    <w:abstractNumId w:val="1"/>
  </w:num>
  <w:num w:numId="19" w16cid:durableId="837647434">
    <w:abstractNumId w:val="6"/>
  </w:num>
  <w:num w:numId="20" w16cid:durableId="19132747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oNotHyphenateCaps/>
  <w:drawingGridHorizontalSpacing w:val="24"/>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27"/>
    <w:rsid w:val="0002217E"/>
    <w:rsid w:val="0003120D"/>
    <w:rsid w:val="00037B07"/>
    <w:rsid w:val="00096464"/>
    <w:rsid w:val="00096CDE"/>
    <w:rsid w:val="000A151B"/>
    <w:rsid w:val="000D25FC"/>
    <w:rsid w:val="000D4732"/>
    <w:rsid w:val="00107369"/>
    <w:rsid w:val="00121A9E"/>
    <w:rsid w:val="00136EBA"/>
    <w:rsid w:val="0014132D"/>
    <w:rsid w:val="001579DD"/>
    <w:rsid w:val="00161E6D"/>
    <w:rsid w:val="0017244F"/>
    <w:rsid w:val="001B7F9B"/>
    <w:rsid w:val="001E1114"/>
    <w:rsid w:val="00210273"/>
    <w:rsid w:val="00210856"/>
    <w:rsid w:val="00232CBC"/>
    <w:rsid w:val="00240AD8"/>
    <w:rsid w:val="002638C0"/>
    <w:rsid w:val="002757F2"/>
    <w:rsid w:val="00283946"/>
    <w:rsid w:val="002842DE"/>
    <w:rsid w:val="002A26EA"/>
    <w:rsid w:val="002B173A"/>
    <w:rsid w:val="002E25BA"/>
    <w:rsid w:val="002F7AF9"/>
    <w:rsid w:val="00333AB5"/>
    <w:rsid w:val="0033539C"/>
    <w:rsid w:val="00344CFD"/>
    <w:rsid w:val="00361844"/>
    <w:rsid w:val="00365849"/>
    <w:rsid w:val="003702AE"/>
    <w:rsid w:val="0039258E"/>
    <w:rsid w:val="003A1D27"/>
    <w:rsid w:val="003B4029"/>
    <w:rsid w:val="003E56D3"/>
    <w:rsid w:val="00401D0F"/>
    <w:rsid w:val="004057AF"/>
    <w:rsid w:val="0042226B"/>
    <w:rsid w:val="00442E6E"/>
    <w:rsid w:val="00444565"/>
    <w:rsid w:val="00456047"/>
    <w:rsid w:val="00465B92"/>
    <w:rsid w:val="004675CC"/>
    <w:rsid w:val="00476012"/>
    <w:rsid w:val="004866CF"/>
    <w:rsid w:val="004979C1"/>
    <w:rsid w:val="004A7214"/>
    <w:rsid w:val="004E1E8F"/>
    <w:rsid w:val="00521154"/>
    <w:rsid w:val="0052291B"/>
    <w:rsid w:val="00523CE8"/>
    <w:rsid w:val="00543AA7"/>
    <w:rsid w:val="00557DC2"/>
    <w:rsid w:val="005751AB"/>
    <w:rsid w:val="005A764A"/>
    <w:rsid w:val="005B7341"/>
    <w:rsid w:val="005C0B13"/>
    <w:rsid w:val="005D1BF3"/>
    <w:rsid w:val="005E4268"/>
    <w:rsid w:val="005E7B8B"/>
    <w:rsid w:val="005F6893"/>
    <w:rsid w:val="00603336"/>
    <w:rsid w:val="00610123"/>
    <w:rsid w:val="006101F3"/>
    <w:rsid w:val="00610973"/>
    <w:rsid w:val="006205C4"/>
    <w:rsid w:val="006615FA"/>
    <w:rsid w:val="00662467"/>
    <w:rsid w:val="00677DC8"/>
    <w:rsid w:val="00685720"/>
    <w:rsid w:val="006A0B09"/>
    <w:rsid w:val="006C3A6E"/>
    <w:rsid w:val="006E3333"/>
    <w:rsid w:val="006E6F9A"/>
    <w:rsid w:val="006F2C6E"/>
    <w:rsid w:val="006F7DEE"/>
    <w:rsid w:val="0070709C"/>
    <w:rsid w:val="00733C73"/>
    <w:rsid w:val="00757B8C"/>
    <w:rsid w:val="007729C7"/>
    <w:rsid w:val="00773A6C"/>
    <w:rsid w:val="00794B82"/>
    <w:rsid w:val="007A499B"/>
    <w:rsid w:val="007E56E6"/>
    <w:rsid w:val="007F4B2A"/>
    <w:rsid w:val="007F7B9E"/>
    <w:rsid w:val="008041E4"/>
    <w:rsid w:val="008145A5"/>
    <w:rsid w:val="00830BAF"/>
    <w:rsid w:val="00841478"/>
    <w:rsid w:val="008423DF"/>
    <w:rsid w:val="00842B08"/>
    <w:rsid w:val="008534C5"/>
    <w:rsid w:val="00854DB5"/>
    <w:rsid w:val="00864B42"/>
    <w:rsid w:val="00876CC5"/>
    <w:rsid w:val="0089412A"/>
    <w:rsid w:val="009111BA"/>
    <w:rsid w:val="00927F19"/>
    <w:rsid w:val="00946E59"/>
    <w:rsid w:val="00992B69"/>
    <w:rsid w:val="00996DE8"/>
    <w:rsid w:val="009A7F8B"/>
    <w:rsid w:val="009D3ED7"/>
    <w:rsid w:val="00A05E8E"/>
    <w:rsid w:val="00A05F94"/>
    <w:rsid w:val="00A259C5"/>
    <w:rsid w:val="00A31951"/>
    <w:rsid w:val="00A3798B"/>
    <w:rsid w:val="00A62C59"/>
    <w:rsid w:val="00AB7A10"/>
    <w:rsid w:val="00AD1138"/>
    <w:rsid w:val="00AD6F58"/>
    <w:rsid w:val="00AE69EB"/>
    <w:rsid w:val="00AF21EA"/>
    <w:rsid w:val="00B00AEA"/>
    <w:rsid w:val="00B02C30"/>
    <w:rsid w:val="00B238B0"/>
    <w:rsid w:val="00B3506A"/>
    <w:rsid w:val="00B35F6A"/>
    <w:rsid w:val="00B625D3"/>
    <w:rsid w:val="00B6369B"/>
    <w:rsid w:val="00B82442"/>
    <w:rsid w:val="00BB1E05"/>
    <w:rsid w:val="00BB3BD6"/>
    <w:rsid w:val="00BC3BF8"/>
    <w:rsid w:val="00BE358A"/>
    <w:rsid w:val="00BE4092"/>
    <w:rsid w:val="00BE6066"/>
    <w:rsid w:val="00BF7ADB"/>
    <w:rsid w:val="00C00AC6"/>
    <w:rsid w:val="00C055E3"/>
    <w:rsid w:val="00C228FD"/>
    <w:rsid w:val="00C23112"/>
    <w:rsid w:val="00C3150A"/>
    <w:rsid w:val="00C57C6A"/>
    <w:rsid w:val="00C64182"/>
    <w:rsid w:val="00C865CE"/>
    <w:rsid w:val="00CA0576"/>
    <w:rsid w:val="00CB3629"/>
    <w:rsid w:val="00CD1C4E"/>
    <w:rsid w:val="00CE0272"/>
    <w:rsid w:val="00CE5DC7"/>
    <w:rsid w:val="00D04F32"/>
    <w:rsid w:val="00D20712"/>
    <w:rsid w:val="00D248EC"/>
    <w:rsid w:val="00D34B4E"/>
    <w:rsid w:val="00D421D5"/>
    <w:rsid w:val="00D57967"/>
    <w:rsid w:val="00D80D0F"/>
    <w:rsid w:val="00D937C1"/>
    <w:rsid w:val="00DA311C"/>
    <w:rsid w:val="00DB3F8D"/>
    <w:rsid w:val="00DB5B6E"/>
    <w:rsid w:val="00DC3527"/>
    <w:rsid w:val="00DE2395"/>
    <w:rsid w:val="00DE5EC5"/>
    <w:rsid w:val="00DF72C5"/>
    <w:rsid w:val="00E12403"/>
    <w:rsid w:val="00E2003B"/>
    <w:rsid w:val="00E3381A"/>
    <w:rsid w:val="00E459F9"/>
    <w:rsid w:val="00E95C3A"/>
    <w:rsid w:val="00EB0F73"/>
    <w:rsid w:val="00EC082B"/>
    <w:rsid w:val="00EE28AB"/>
    <w:rsid w:val="00EF050E"/>
    <w:rsid w:val="00F127D6"/>
    <w:rsid w:val="00F13F2A"/>
    <w:rsid w:val="00F264B7"/>
    <w:rsid w:val="00F3386F"/>
    <w:rsid w:val="00F33C5D"/>
    <w:rsid w:val="00F476D3"/>
    <w:rsid w:val="00F547AB"/>
    <w:rsid w:val="00F5687A"/>
    <w:rsid w:val="00FA1674"/>
    <w:rsid w:val="00FA2FB3"/>
    <w:rsid w:val="00FA57CA"/>
    <w:rsid w:val="00FB0ECD"/>
    <w:rsid w:val="00FB3651"/>
    <w:rsid w:val="00FD2EDA"/>
    <w:rsid w:val="00FE548E"/>
    <w:rsid w:val="00FE5D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FF662"/>
  <w15:chartTrackingRefBased/>
  <w15:docId w15:val="{D857AECF-5754-4830-8E59-FB9FEFBB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pPr>
  </w:style>
  <w:style w:type="paragraph" w:styleId="berschrift1">
    <w:name w:val="heading 1"/>
    <w:basedOn w:val="Standard"/>
    <w:next w:val="Standard"/>
    <w:qFormat/>
    <w:pPr>
      <w:keepNext/>
      <w:suppressAutoHyphens/>
      <w:jc w:val="center"/>
      <w:outlineLvl w:val="0"/>
    </w:pPr>
    <w:rPr>
      <w:b/>
    </w:rPr>
  </w:style>
  <w:style w:type="paragraph" w:styleId="berschrift2">
    <w:name w:val="heading 2"/>
    <w:basedOn w:val="Standard"/>
    <w:next w:val="Standard"/>
    <w:qFormat/>
    <w:pPr>
      <w:keepNext/>
      <w:tabs>
        <w:tab w:val="left" w:pos="0"/>
        <w:tab w:val="left" w:pos="284"/>
      </w:tabs>
      <w:suppressAutoHyphens/>
      <w:outlineLvl w:val="1"/>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4"/>
    </w:rPr>
  </w:style>
  <w:style w:type="character" w:styleId="Endnotenzeichen">
    <w:name w:val="endnote reference"/>
    <w:semiHidden/>
    <w:rPr>
      <w:sz w:val="20"/>
      <w:vertAlign w:val="superscript"/>
    </w:rPr>
  </w:style>
  <w:style w:type="paragraph" w:styleId="Funotentext">
    <w:name w:val="footnote text"/>
    <w:basedOn w:val="Standard"/>
    <w:semiHidden/>
    <w:rPr>
      <w:sz w:val="24"/>
    </w:rPr>
  </w:style>
  <w:style w:type="character" w:styleId="Funotenzeichen">
    <w:name w:val="footnote reference"/>
    <w:semiHidden/>
    <w:rPr>
      <w:sz w:val="20"/>
      <w:vertAlign w:val="superscript"/>
    </w:rPr>
  </w:style>
  <w:style w:type="paragraph" w:styleId="Verzeichnis1">
    <w:name w:val="toc 1"/>
    <w:basedOn w:val="Standard"/>
    <w:next w:val="Standard"/>
    <w:semiHidden/>
    <w:pPr>
      <w:tabs>
        <w:tab w:val="right" w:leader="dot" w:pos="9360"/>
      </w:tabs>
      <w:suppressAutoHyphens/>
      <w:spacing w:before="480"/>
      <w:ind w:left="720" w:right="720" w:hanging="720"/>
    </w:pPr>
  </w:style>
  <w:style w:type="paragraph" w:styleId="Verzeichnis2">
    <w:name w:val="toc 2"/>
    <w:basedOn w:val="Standard"/>
    <w:next w:val="Standard"/>
    <w:semiHidden/>
    <w:pPr>
      <w:tabs>
        <w:tab w:val="right" w:leader="dot" w:pos="9360"/>
      </w:tabs>
      <w:suppressAutoHyphens/>
      <w:ind w:left="1440" w:right="720" w:hanging="720"/>
    </w:pPr>
  </w:style>
  <w:style w:type="paragraph" w:styleId="Verzeichnis3">
    <w:name w:val="toc 3"/>
    <w:basedOn w:val="Standard"/>
    <w:next w:val="Standard"/>
    <w:semiHidden/>
    <w:pPr>
      <w:tabs>
        <w:tab w:val="right" w:leader="dot" w:pos="9360"/>
      </w:tabs>
      <w:suppressAutoHyphens/>
      <w:ind w:left="2160" w:right="720" w:hanging="720"/>
    </w:pPr>
  </w:style>
  <w:style w:type="paragraph" w:styleId="Verzeichnis4">
    <w:name w:val="toc 4"/>
    <w:basedOn w:val="Standard"/>
    <w:next w:val="Standard"/>
    <w:semiHidden/>
    <w:pPr>
      <w:tabs>
        <w:tab w:val="right" w:leader="dot" w:pos="9360"/>
      </w:tabs>
      <w:suppressAutoHyphens/>
      <w:ind w:left="2880" w:right="720" w:hanging="720"/>
    </w:pPr>
  </w:style>
  <w:style w:type="paragraph" w:styleId="Verzeichnis5">
    <w:name w:val="toc 5"/>
    <w:basedOn w:val="Standard"/>
    <w:next w:val="Standard"/>
    <w:semiHidden/>
    <w:pPr>
      <w:tabs>
        <w:tab w:val="right" w:leader="dot" w:pos="9360"/>
      </w:tabs>
      <w:suppressAutoHyphens/>
      <w:ind w:left="3600" w:right="720" w:hanging="720"/>
    </w:pPr>
  </w:style>
  <w:style w:type="paragraph" w:styleId="Verzeichnis6">
    <w:name w:val="toc 6"/>
    <w:basedOn w:val="Standard"/>
    <w:next w:val="Standard"/>
    <w:semiHidden/>
    <w:pPr>
      <w:tabs>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right" w:pos="9360"/>
      </w:tabs>
      <w:suppressAutoHyphens/>
      <w:ind w:left="720" w:hanging="720"/>
    </w:pPr>
  </w:style>
  <w:style w:type="paragraph" w:styleId="Verzeichnis9">
    <w:name w:val="toc 9"/>
    <w:basedOn w:val="Standard"/>
    <w:next w:val="Standard"/>
    <w:semiHidden/>
    <w:pPr>
      <w:tabs>
        <w:tab w:val="right" w:leader="dot" w:pos="9360"/>
      </w:tabs>
      <w:suppressAutoHyphens/>
      <w:ind w:left="720" w:hanging="720"/>
    </w:pPr>
  </w:style>
  <w:style w:type="paragraph" w:styleId="Index1">
    <w:name w:val="index 1"/>
    <w:basedOn w:val="Standard"/>
    <w:next w:val="Standard"/>
    <w:semiHidden/>
    <w:pPr>
      <w:tabs>
        <w:tab w:val="right" w:leader="dot" w:pos="9360"/>
      </w:tabs>
      <w:suppressAutoHyphens/>
      <w:ind w:left="1440" w:right="720" w:hanging="1440"/>
    </w:pPr>
  </w:style>
  <w:style w:type="paragraph" w:styleId="Index2">
    <w:name w:val="index 2"/>
    <w:basedOn w:val="Standard"/>
    <w:next w:val="Standard"/>
    <w:semiHidden/>
    <w:pPr>
      <w:tabs>
        <w:tab w:val="right" w:leader="dot" w:pos="9360"/>
      </w:tabs>
      <w:suppressAutoHyphens/>
      <w:ind w:left="1440" w:right="720" w:hanging="720"/>
    </w:pPr>
  </w:style>
  <w:style w:type="paragraph" w:customStyle="1" w:styleId="toa">
    <w:name w:val="toa"/>
    <w:basedOn w:val="Standard"/>
    <w:pPr>
      <w:tabs>
        <w:tab w:val="right" w:pos="9360"/>
      </w:tabs>
      <w:suppressAutoHyphens/>
    </w:pPr>
  </w:style>
  <w:style w:type="paragraph" w:styleId="Beschriftung">
    <w:name w:val="caption"/>
    <w:basedOn w:val="Standard"/>
    <w:next w:val="Standard"/>
    <w:qFormat/>
    <w:rPr>
      <w:sz w:val="24"/>
    </w:rPr>
  </w:style>
  <w:style w:type="character" w:customStyle="1" w:styleId="EquationCaption">
    <w:name w:val="_Equation Caption"/>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okumentstruktur1">
    <w:name w:val="Dokumentstruktur1"/>
    <w:basedOn w:val="Standard"/>
    <w:pPr>
      <w:shd w:val="clear" w:color="auto" w:fill="000080"/>
    </w:pPr>
    <w:rPr>
      <w:rFonts w:ascii="Tahoma" w:hAnsi="Tahoma"/>
    </w:rPr>
  </w:style>
  <w:style w:type="paragraph" w:styleId="Textkrper">
    <w:name w:val="Body Text"/>
    <w:basedOn w:val="Standard"/>
    <w:pPr>
      <w:tabs>
        <w:tab w:val="left" w:pos="0"/>
        <w:tab w:val="left" w:pos="284"/>
      </w:tabs>
      <w:suppressAutoHyphens/>
    </w:pPr>
    <w:rPr>
      <w:b/>
      <w:sz w:val="16"/>
    </w:rPr>
  </w:style>
  <w:style w:type="character" w:styleId="Seitenzahl">
    <w:name w:val="page number"/>
    <w:basedOn w:val="Absatz-Standardschriftart"/>
  </w:style>
  <w:style w:type="paragraph" w:styleId="Textkrper2">
    <w:name w:val="Body Text 2"/>
    <w:basedOn w:val="Standard"/>
    <w:pPr>
      <w:suppressAutoHyphens/>
      <w:jc w:val="center"/>
    </w:pPr>
    <w:rPr>
      <w:rFonts w:ascii="Arial" w:hAnsi="Arial"/>
      <w:snapToGrid w:val="0"/>
      <w:sz w:val="22"/>
    </w:rPr>
  </w:style>
  <w:style w:type="paragraph" w:styleId="Sprechblasentext">
    <w:name w:val="Balloon Text"/>
    <w:basedOn w:val="Standard"/>
    <w:semiHidden/>
    <w:rsid w:val="008041E4"/>
    <w:rPr>
      <w:rFonts w:ascii="Tahoma" w:hAnsi="Tahoma" w:cs="Tahoma"/>
      <w:sz w:val="16"/>
      <w:szCs w:val="16"/>
    </w:rPr>
  </w:style>
  <w:style w:type="table" w:styleId="Tabellenraster">
    <w:name w:val="Table Grid"/>
    <w:basedOn w:val="NormaleTabelle"/>
    <w:rsid w:val="008041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dejong">
    <w:name w:val="aaa_dejong"/>
    <w:basedOn w:val="Standard"/>
    <w:autoRedefine/>
    <w:rsid w:val="00557DC2"/>
    <w:pPr>
      <w:tabs>
        <w:tab w:val="left" w:pos="851"/>
      </w:tabs>
      <w:ind w:left="851" w:hanging="851"/>
      <w:jc w:val="both"/>
    </w:pPr>
    <w:rPr>
      <w:rFonts w:ascii="Arial" w:hAnsi="Arial" w:cs="Arial"/>
      <w:sz w:val="18"/>
    </w:rPr>
  </w:style>
  <w:style w:type="paragraph" w:customStyle="1" w:styleId="aaadejongAufzStrich">
    <w:name w:val="aaa_dejong_Aufz_Strich"/>
    <w:basedOn w:val="Standard"/>
    <w:autoRedefine/>
    <w:rsid w:val="00E95C3A"/>
    <w:pPr>
      <w:widowControl/>
      <w:numPr>
        <w:numId w:val="6"/>
      </w:numPr>
      <w:tabs>
        <w:tab w:val="left" w:pos="851"/>
      </w:tabs>
      <w:ind w:left="1304" w:hanging="453"/>
      <w:jc w:val="both"/>
    </w:pPr>
    <w:rPr>
      <w:rFonts w:ascii="Arial" w:hAnsi="Arial" w:cs="Arial"/>
      <w:sz w:val="18"/>
    </w:rPr>
  </w:style>
  <w:style w:type="paragraph" w:customStyle="1" w:styleId="aaadejongfett">
    <w:name w:val="aaa_dejong_fett"/>
    <w:basedOn w:val="Standard"/>
    <w:link w:val="aaadejongfettZchn"/>
    <w:autoRedefine/>
    <w:rsid w:val="00733C73"/>
    <w:pPr>
      <w:tabs>
        <w:tab w:val="left" w:pos="851"/>
      </w:tabs>
      <w:ind w:left="709" w:hanging="709"/>
      <w:jc w:val="both"/>
    </w:pPr>
    <w:rPr>
      <w:rFonts w:ascii="Arial" w:hAnsi="Arial" w:cs="Arial"/>
      <w:b/>
      <w:sz w:val="18"/>
    </w:rPr>
  </w:style>
  <w:style w:type="character" w:customStyle="1" w:styleId="aaadejongfettZchn">
    <w:name w:val="aaa_dejong_fett Zchn"/>
    <w:link w:val="aaadejongfett"/>
    <w:rsid w:val="00557DC2"/>
    <w:rPr>
      <w:rFonts w:ascii="Arial" w:hAnsi="Arial" w:cs="Arial"/>
      <w:b/>
      <w:sz w:val="18"/>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19" ma:contentTypeDescription="Ein neues Dokument erstellen." ma:contentTypeScope="" ma:versionID="5411bddc1ffaeb32ed4c16398bc270d7">
  <xsd:schema xmlns:xsd="http://www.w3.org/2001/XMLSchema" xmlns:xs="http://www.w3.org/2001/XMLSchema" xmlns:p="http://schemas.microsoft.com/office/2006/metadata/properties" xmlns:ns2="b5539286-5ee8-44bc-baa4-0e2ff02f6573" xmlns:ns3="7b005ea8-45a7-4705-82f0-6b1ce8aaff7b" targetNamespace="http://schemas.microsoft.com/office/2006/metadata/properties" ma:root="true" ma:fieldsID="118082f388260a828ebb2ab63cd88d0c" ns2:_="" ns3:_="">
    <xsd:import namespace="b5539286-5ee8-44bc-baa4-0e2ff02f6573"/>
    <xsd:import namespace="7b005ea8-45a7-4705-82f0-6b1ce8aaf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2510aa0-957d-4b1b-ad12-f5c24380f8c5" ma:termSetId="09814cd3-568e-fe90-9814-8d621ff8fb84" ma:anchorId="fba54fb3-c3e1-fe81-a776-ca4b69148c4d" ma:open="true" ma:isKeyword="false">
      <xsd:complexType>
        <xsd:sequence>
          <xsd:element ref="pc:Terms" minOccurs="0" maxOccurs="1"/>
        </xsd:sequence>
      </xsd:complexType>
    </xsd:element>
    <xsd:element name="Ort" ma:index="24" nillable="true" ma:displayName="Ort" ma:format="Dropdown" ma:internalName="Ort">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05ea8-45a7-4705-82f0-6b1ce8aaff7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1d73398-dc50-4b55-a3a1-aca659f7df72}" ma:internalName="TaxCatchAll" ma:showField="CatchAllData" ma:web="7b005ea8-45a7-4705-82f0-6b1ce8aaf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005ea8-45a7-4705-82f0-6b1ce8aaff7b"/>
    <lcf76f155ced4ddcb4097134ff3c332f xmlns="b5539286-5ee8-44bc-baa4-0e2ff02f6573">
      <Terms xmlns="http://schemas.microsoft.com/office/infopath/2007/PartnerControls"/>
    </lcf76f155ced4ddcb4097134ff3c332f>
    <Ort xmlns="b5539286-5ee8-44bc-baa4-0e2ff02f6573" xsi:nil="true"/>
  </documentManagement>
</p:properties>
</file>

<file path=customXml/itemProps1.xml><?xml version="1.0" encoding="utf-8"?>
<ds:datastoreItem xmlns:ds="http://schemas.openxmlformats.org/officeDocument/2006/customXml" ds:itemID="{86D91B3E-EAFB-49F8-9A3E-E9A6D0F5E6FB}">
  <ds:schemaRefs>
    <ds:schemaRef ds:uri="http://schemas.microsoft.com/sharepoint/v3/contenttype/forms"/>
  </ds:schemaRefs>
</ds:datastoreItem>
</file>

<file path=customXml/itemProps2.xml><?xml version="1.0" encoding="utf-8"?>
<ds:datastoreItem xmlns:ds="http://schemas.openxmlformats.org/officeDocument/2006/customXml" ds:itemID="{F458DA04-8215-459C-9D7B-9B2E07A3F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9286-5ee8-44bc-baa4-0e2ff02f6573"/>
    <ds:schemaRef ds:uri="7b005ea8-45a7-4705-82f0-6b1ce8aa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60B952-D561-49F9-B7F4-52D7B2EE47B9}">
  <ds:schemaRefs>
    <ds:schemaRef ds:uri="http://schemas.microsoft.com/office/2006/metadata/properties"/>
    <ds:schemaRef ds:uri="http://schemas.microsoft.com/office/infopath/2007/PartnerControls"/>
    <ds:schemaRef ds:uri="7b005ea8-45a7-4705-82f0-6b1ce8aaff7b"/>
    <ds:schemaRef ds:uri="b5539286-5ee8-44bc-baa4-0e2ff02f657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1446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GDV</vt:lpstr>
    </vt:vector>
  </TitlesOfParts>
  <Company>GDV - Büro Hamburg</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GDV</dc:title>
  <dc:subject/>
  <dc:creator>GDV</dc:creator>
  <cp:keywords/>
  <dc:description/>
  <cp:lastModifiedBy>Kupfer, Björn</cp:lastModifiedBy>
  <cp:revision>3</cp:revision>
  <cp:lastPrinted>2022-07-06T08:25:00Z</cp:lastPrinted>
  <dcterms:created xsi:type="dcterms:W3CDTF">2025-03-04T19:52:00Z</dcterms:created>
  <dcterms:modified xsi:type="dcterms:W3CDTF">2025-03-04T20:07:00Z</dcterms:modified>
</cp:coreProperties>
</file>