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C35E" w14:textId="3D0BFB59" w:rsidR="00067F89" w:rsidRPr="00115B10" w:rsidRDefault="00067F89" w:rsidP="00067F89">
      <w:pPr>
        <w:pStyle w:val="UE"/>
        <w:rPr>
          <w:b w:val="0"/>
          <w:bCs/>
          <w:sz w:val="18"/>
          <w:szCs w:val="18"/>
          <w:lang w:val="en-GB"/>
        </w:rPr>
      </w:pPr>
      <w:r w:rsidRPr="00115B10">
        <w:rPr>
          <w:b w:val="0"/>
          <w:sz w:val="18"/>
          <w:szCs w:val="18"/>
          <w:lang w:val="en-GB" w:bidi="en-US"/>
        </w:rPr>
        <w:t>Non-binding recommendations by the German Insurance Association (GDV) for optional use. Other conditions may be agreed.</w:t>
      </w:r>
      <w:r w:rsidR="00487500">
        <w:rPr>
          <w:b w:val="0"/>
          <w:sz w:val="18"/>
          <w:szCs w:val="18"/>
          <w:lang w:val="en-GB" w:bidi="en-US"/>
        </w:rPr>
        <w:t xml:space="preserve"> </w:t>
      </w:r>
      <w:r w:rsidR="00487500" w:rsidRPr="00487500">
        <w:rPr>
          <w:b w:val="0"/>
          <w:sz w:val="18"/>
          <w:szCs w:val="18"/>
          <w:lang w:val="en-GB" w:bidi="en-US"/>
        </w:rPr>
        <w:t>In case of deviations the German wording shall prevail</w:t>
      </w:r>
      <w:r w:rsidR="00273A64">
        <w:rPr>
          <w:b w:val="0"/>
          <w:sz w:val="18"/>
          <w:szCs w:val="18"/>
          <w:lang w:val="en-GB" w:bidi="en-US"/>
        </w:rPr>
        <w:t>.</w:t>
      </w:r>
    </w:p>
    <w:p w14:paraId="59652665" w14:textId="0B481F84" w:rsidR="00B30632" w:rsidRPr="00115B10" w:rsidRDefault="00B30632" w:rsidP="0032116B">
      <w:pPr>
        <w:spacing w:line="360" w:lineRule="auto"/>
        <w:jc w:val="center"/>
        <w:rPr>
          <w:rFonts w:ascii="Arial" w:hAnsi="Arial" w:cs="Arial"/>
          <w:b/>
          <w:bCs/>
          <w:lang w:val="en-GB"/>
        </w:rPr>
      </w:pPr>
      <w:r w:rsidRPr="00115B10">
        <w:rPr>
          <w:rFonts w:ascii="Arial" w:eastAsia="Arial" w:hAnsi="Arial" w:cs="Arial"/>
          <w:b/>
          <w:lang w:val="en-GB" w:bidi="en-US"/>
        </w:rPr>
        <w:t>Annex to the</w:t>
      </w:r>
    </w:p>
    <w:p w14:paraId="59652667" w14:textId="1933F660" w:rsidR="00B30632" w:rsidRPr="00115B10" w:rsidRDefault="00FC3539" w:rsidP="0032116B">
      <w:pPr>
        <w:spacing w:line="360" w:lineRule="auto"/>
        <w:jc w:val="center"/>
        <w:rPr>
          <w:rFonts w:ascii="Arial" w:hAnsi="Arial" w:cs="Arial"/>
          <w:b/>
          <w:bCs/>
          <w:lang w:val="en-GB"/>
        </w:rPr>
      </w:pPr>
      <w:r w:rsidRPr="00FC3539">
        <w:rPr>
          <w:rFonts w:ascii="Arial" w:eastAsia="Arial" w:hAnsi="Arial" w:cs="Arial"/>
          <w:b/>
          <w:lang w:val="en-GB" w:bidi="en-US"/>
        </w:rPr>
        <w:t xml:space="preserve">General German Conditions of Insurance for Inland Vessels 2024 (ADB 2024) </w:t>
      </w:r>
      <w:r w:rsidR="00B30632" w:rsidRPr="00115B10">
        <w:rPr>
          <w:rFonts w:ascii="Arial" w:eastAsia="Arial" w:hAnsi="Arial" w:cs="Arial"/>
          <w:b/>
          <w:lang w:val="en-GB" w:bidi="en-US"/>
        </w:rPr>
        <w:t>(Annex ADB 2024)</w:t>
      </w:r>
    </w:p>
    <w:p w14:paraId="72A30729" w14:textId="77777777" w:rsidR="00311182" w:rsidRPr="00115B10" w:rsidRDefault="00311182" w:rsidP="0032116B">
      <w:pPr>
        <w:spacing w:line="360" w:lineRule="auto"/>
        <w:jc w:val="center"/>
        <w:rPr>
          <w:rFonts w:ascii="Arial" w:hAnsi="Arial" w:cs="Arial"/>
          <w:b/>
          <w:bCs/>
          <w:lang w:val="en-GB"/>
        </w:rPr>
      </w:pPr>
    </w:p>
    <w:p w14:paraId="59652669" w14:textId="667005FF" w:rsidR="0018496E" w:rsidRPr="00115B10" w:rsidRDefault="00B30632" w:rsidP="0032116B">
      <w:pPr>
        <w:spacing w:line="360" w:lineRule="auto"/>
        <w:jc w:val="center"/>
        <w:rPr>
          <w:rFonts w:ascii="Arial" w:hAnsi="Arial" w:cs="Arial"/>
          <w:b/>
          <w:bCs/>
          <w:lang w:val="en-GB"/>
        </w:rPr>
      </w:pPr>
      <w:r w:rsidRPr="00115B10">
        <w:rPr>
          <w:rFonts w:ascii="Arial" w:eastAsia="Arial" w:hAnsi="Arial" w:cs="Arial"/>
          <w:b/>
          <w:lang w:val="en-GB" w:bidi="en-US"/>
        </w:rPr>
        <w:t>Standard policy conditions of the GDV</w:t>
      </w:r>
    </w:p>
    <w:p w14:paraId="0122BD06" w14:textId="5BAF51D4" w:rsidR="00EC6AEE" w:rsidRPr="00115B10" w:rsidRDefault="001F34F1" w:rsidP="0032116B">
      <w:pPr>
        <w:pStyle w:val="UEAkronym"/>
        <w:spacing w:line="360" w:lineRule="auto"/>
        <w:rPr>
          <w:b w:val="0"/>
          <w:sz w:val="22"/>
          <w:szCs w:val="22"/>
          <w:lang w:val="en-GB"/>
        </w:rPr>
      </w:pPr>
      <w:r w:rsidRPr="00115B10">
        <w:rPr>
          <w:b w:val="0"/>
          <w:sz w:val="22"/>
          <w:szCs w:val="22"/>
          <w:lang w:val="en-GB" w:bidi="en-US"/>
        </w:rPr>
        <w:t>Last amended: March 2024)</w:t>
      </w:r>
    </w:p>
    <w:p w14:paraId="5965266A" w14:textId="77777777" w:rsidR="00B30632" w:rsidRPr="00115B10" w:rsidRDefault="00B30632" w:rsidP="000D2903">
      <w:pPr>
        <w:pStyle w:val="UEKLS3inh"/>
        <w:pBdr>
          <w:top w:val="single" w:sz="4" w:space="4" w:color="auto"/>
        </w:pBdr>
        <w:ind w:left="0" w:firstLine="0"/>
        <w:rPr>
          <w:lang w:val="en-GB"/>
        </w:rPr>
      </w:pPr>
    </w:p>
    <w:p w14:paraId="5965266C" w14:textId="77777777" w:rsidR="0018496E" w:rsidRPr="00115B10" w:rsidRDefault="0018496E" w:rsidP="00BB5180">
      <w:pPr>
        <w:pStyle w:val="UEKLS3inh"/>
        <w:ind w:left="0" w:firstLine="0"/>
        <w:rPr>
          <w:lang w:val="en-GB"/>
        </w:rPr>
        <w:sectPr w:rsidR="0018496E" w:rsidRPr="00115B10" w:rsidSect="00CD3717">
          <w:headerReference w:type="default" r:id="rId10"/>
          <w:footerReference w:type="default" r:id="rId11"/>
          <w:headerReference w:type="first" r:id="rId12"/>
          <w:footerReference w:type="first" r:id="rId13"/>
          <w:type w:val="continuous"/>
          <w:pgSz w:w="11906" w:h="16838" w:code="9"/>
          <w:pgMar w:top="1418" w:right="1418" w:bottom="1418" w:left="1418" w:header="709" w:footer="709" w:gutter="0"/>
          <w:cols w:space="709"/>
          <w:docGrid w:linePitch="360"/>
        </w:sectPr>
      </w:pPr>
    </w:p>
    <w:p w14:paraId="429F04C5" w14:textId="6DE33BED" w:rsidR="006E6268" w:rsidRPr="00115B10" w:rsidRDefault="00AC1D28" w:rsidP="00047A50">
      <w:pPr>
        <w:pStyle w:val="FormatvorlageUEKls3schlussLinks0cm"/>
        <w:numPr>
          <w:ilvl w:val="0"/>
          <w:numId w:val="0"/>
        </w:numPr>
        <w:rPr>
          <w:b/>
          <w:lang w:val="en-GB"/>
        </w:rPr>
      </w:pPr>
      <w:r w:rsidRPr="00115B10">
        <w:rPr>
          <w:b/>
          <w:lang w:val="en-GB" w:bidi="en-US"/>
        </w:rPr>
        <w:t xml:space="preserve">This Annex lists provisions, for which individual agreements are to be made according to the ADB 2024. </w:t>
      </w:r>
    </w:p>
    <w:p w14:paraId="744A41FF" w14:textId="65066D61" w:rsidR="00667A02" w:rsidRPr="00115B10" w:rsidRDefault="0021023C" w:rsidP="00667A02">
      <w:pPr>
        <w:pStyle w:val="FormatvorlageUEKls3schlussLinks0cm"/>
        <w:numPr>
          <w:ilvl w:val="0"/>
          <w:numId w:val="0"/>
        </w:numPr>
        <w:ind w:left="709" w:hanging="709"/>
        <w:rPr>
          <w:b/>
          <w:lang w:val="en-GB"/>
        </w:rPr>
      </w:pPr>
      <w:r w:rsidRPr="00115B10">
        <w:rPr>
          <w:b/>
          <w:lang w:val="en-GB" w:bidi="en-US"/>
        </w:rPr>
        <w:t>Section A</w:t>
      </w:r>
      <w:r w:rsidRPr="00115B10">
        <w:rPr>
          <w:b/>
          <w:lang w:val="en-GB" w:bidi="en-US"/>
        </w:rPr>
        <w:tab/>
        <w:t>General provisions</w:t>
      </w:r>
    </w:p>
    <w:p w14:paraId="35393283" w14:textId="25641B61" w:rsidR="00E57A65" w:rsidRPr="00115B10" w:rsidRDefault="00E57A65" w:rsidP="00E57A65">
      <w:pPr>
        <w:pStyle w:val="FormatvorlageUEKls3schlussLinks0cm"/>
        <w:rPr>
          <w:b/>
          <w:lang w:val="en-GB"/>
        </w:rPr>
      </w:pPr>
      <w:r w:rsidRPr="00115B10">
        <w:rPr>
          <w:b/>
          <w:lang w:val="en-GB" w:bidi="en-US"/>
        </w:rPr>
        <w:t>Subject matter of the insurance (Clause A1.2 ADB 2024)</w:t>
      </w:r>
    </w:p>
    <w:p w14:paraId="2DE31FCD" w14:textId="7F9360AB" w:rsidR="00E57A65" w:rsidRPr="00115B10" w:rsidRDefault="00AA40E3" w:rsidP="00E57A65">
      <w:pPr>
        <w:pStyle w:val="FormatvorlageUEKls3schlussLinks0cm"/>
        <w:numPr>
          <w:ilvl w:val="0"/>
          <w:numId w:val="0"/>
        </w:numPr>
        <w:ind w:left="709"/>
        <w:rPr>
          <w:lang w:val="en-GB"/>
        </w:rPr>
      </w:pPr>
      <w:r w:rsidRPr="00115B10">
        <w:rPr>
          <w:lang w:val="en-GB" w:bidi="en-US"/>
        </w:rPr>
        <w:t>Pursuant to Clause A1.2 ADB 2024, the following is additionally insured: …</w:t>
      </w:r>
    </w:p>
    <w:p w14:paraId="54A8D129" w14:textId="63B0DEAF" w:rsidR="00E57A65" w:rsidRPr="00115B10" w:rsidRDefault="00E57A65" w:rsidP="009860E1">
      <w:pPr>
        <w:pStyle w:val="FormatvorlageUEKls3schlussLinks0cm"/>
        <w:spacing w:after="0"/>
        <w:rPr>
          <w:b/>
          <w:lang w:val="en-GB"/>
        </w:rPr>
      </w:pPr>
      <w:r w:rsidRPr="00115B10">
        <w:rPr>
          <w:b/>
          <w:lang w:val="en-GB" w:bidi="en-US"/>
        </w:rPr>
        <w:t>Territorial scope (Clause A3.5 sentence 1 ADB 2024)</w:t>
      </w:r>
    </w:p>
    <w:p w14:paraId="44462ED9" w14:textId="77777777" w:rsidR="00E57A65" w:rsidRPr="00115B10" w:rsidRDefault="00E57A65" w:rsidP="00E57A65">
      <w:pPr>
        <w:pStyle w:val="FormatvorlageUEKls3schlussLinks0cm"/>
        <w:numPr>
          <w:ilvl w:val="0"/>
          <w:numId w:val="0"/>
        </w:numPr>
        <w:spacing w:after="0"/>
        <w:ind w:left="709"/>
        <w:rPr>
          <w:b/>
          <w:lang w:val="en-GB"/>
        </w:rPr>
      </w:pPr>
    </w:p>
    <w:p w14:paraId="72A79695" w14:textId="137A9205" w:rsidR="00E57A65" w:rsidRPr="00115B10" w:rsidRDefault="00E57A65" w:rsidP="00E57A65">
      <w:pPr>
        <w:pStyle w:val="FormatvorlageUEKls3schlussLinks0cm"/>
        <w:numPr>
          <w:ilvl w:val="0"/>
          <w:numId w:val="0"/>
        </w:numPr>
        <w:spacing w:after="0"/>
        <w:ind w:left="709"/>
        <w:rPr>
          <w:lang w:val="en-GB"/>
        </w:rPr>
      </w:pPr>
      <w:r w:rsidRPr="00115B10">
        <w:rPr>
          <w:lang w:val="en-GB" w:bidi="en-US"/>
        </w:rPr>
        <w:t>Pursuant to Clause A3.5 sentence 1 ADB 2024, the following territorial scope is agreed for objects as per Clause B2.2 ADB 2024: …</w:t>
      </w:r>
    </w:p>
    <w:p w14:paraId="45B4FA45" w14:textId="77777777" w:rsidR="00E57A65" w:rsidRPr="00115B10" w:rsidRDefault="00E57A65" w:rsidP="00E57A65">
      <w:pPr>
        <w:pStyle w:val="FormatvorlageUEKls3schlussLinks0cm"/>
        <w:numPr>
          <w:ilvl w:val="0"/>
          <w:numId w:val="0"/>
        </w:numPr>
        <w:spacing w:after="0"/>
        <w:ind w:left="709"/>
        <w:rPr>
          <w:lang w:val="en-GB"/>
        </w:rPr>
      </w:pPr>
    </w:p>
    <w:p w14:paraId="5143D43A" w14:textId="6F976C24" w:rsidR="00E57A65" w:rsidRPr="00115B10" w:rsidRDefault="000E79B7" w:rsidP="009860E1">
      <w:pPr>
        <w:pStyle w:val="FormatvorlageUEKls3schlussLinks0cm"/>
        <w:spacing w:after="0"/>
        <w:rPr>
          <w:b/>
          <w:lang w:val="en-GB"/>
        </w:rPr>
      </w:pPr>
      <w:r w:rsidRPr="00115B10">
        <w:rPr>
          <w:b/>
          <w:lang w:val="en-GB" w:bidi="en-US"/>
        </w:rPr>
        <w:t>Deductible (Clause A5.1 ADB 2024)</w:t>
      </w:r>
    </w:p>
    <w:p w14:paraId="65305DD2" w14:textId="77777777" w:rsidR="00E43EED" w:rsidRPr="00115B10" w:rsidRDefault="00E43EED" w:rsidP="00E57A65">
      <w:pPr>
        <w:pStyle w:val="FormatvorlageUEKls3schlussLinks0cm"/>
        <w:numPr>
          <w:ilvl w:val="0"/>
          <w:numId w:val="0"/>
        </w:numPr>
        <w:spacing w:after="0"/>
        <w:ind w:left="709"/>
        <w:rPr>
          <w:lang w:val="en-GB"/>
        </w:rPr>
      </w:pPr>
    </w:p>
    <w:p w14:paraId="190C86EB" w14:textId="0A9A194D" w:rsidR="00C80654" w:rsidRPr="00115B10" w:rsidRDefault="002F481A" w:rsidP="000235DA">
      <w:pPr>
        <w:pStyle w:val="FormatvorlageUEKls3schlussLinks0cm"/>
        <w:numPr>
          <w:ilvl w:val="0"/>
          <w:numId w:val="0"/>
        </w:numPr>
        <w:spacing w:after="0"/>
        <w:ind w:left="709"/>
        <w:rPr>
          <w:lang w:val="en-GB"/>
        </w:rPr>
      </w:pPr>
      <w:r w:rsidRPr="00115B10">
        <w:rPr>
          <w:lang w:val="en-GB" w:bidi="en-US"/>
        </w:rPr>
        <w:t>The deductible agreed as per Clause A5.1 ADB 2024 amounts to: ...</w:t>
      </w:r>
    </w:p>
    <w:p w14:paraId="373A1550" w14:textId="77777777" w:rsidR="000235DA" w:rsidRPr="00115B10" w:rsidRDefault="000235DA" w:rsidP="000235DA">
      <w:pPr>
        <w:pStyle w:val="FormatvorlageUEKls3schlussLinks0cm"/>
        <w:numPr>
          <w:ilvl w:val="0"/>
          <w:numId w:val="0"/>
        </w:numPr>
        <w:spacing w:after="0"/>
        <w:ind w:left="709"/>
        <w:rPr>
          <w:lang w:val="en-GB"/>
        </w:rPr>
      </w:pPr>
    </w:p>
    <w:p w14:paraId="64C21C91" w14:textId="4CEA4B9A" w:rsidR="00930A7F" w:rsidRPr="00115B10" w:rsidRDefault="00930A7F" w:rsidP="00930A7F">
      <w:pPr>
        <w:pStyle w:val="FormatvorlageUEKls3schlussLinks0cm"/>
        <w:rPr>
          <w:b/>
          <w:lang w:val="en-GB"/>
        </w:rPr>
      </w:pPr>
      <w:r w:rsidRPr="00115B10">
        <w:rPr>
          <w:b/>
          <w:lang w:val="en-GB" w:bidi="en-US"/>
        </w:rPr>
        <w:t>Deduction for ice damage (Clause A5.2 ADB 2024)</w:t>
      </w:r>
    </w:p>
    <w:p w14:paraId="3C42BDB8" w14:textId="624AD707" w:rsidR="000235DA" w:rsidRPr="00115B10" w:rsidRDefault="000235DA" w:rsidP="000235DA">
      <w:pPr>
        <w:pStyle w:val="FormatvorlageUEKls3schlussLinks0cm"/>
        <w:numPr>
          <w:ilvl w:val="0"/>
          <w:numId w:val="0"/>
        </w:numPr>
        <w:ind w:left="709"/>
        <w:rPr>
          <w:lang w:val="en-GB"/>
        </w:rPr>
      </w:pPr>
      <w:r w:rsidRPr="00115B10">
        <w:rPr>
          <w:lang w:val="en-GB" w:bidi="en-US"/>
        </w:rPr>
        <w:t>The following deduction in percent of the indemnifiable loss/damage applies to ice damage: ...</w:t>
      </w:r>
    </w:p>
    <w:p w14:paraId="72D94E8F" w14:textId="63EE49DC" w:rsidR="004D2274" w:rsidRPr="00115B10" w:rsidRDefault="004D2274" w:rsidP="00930A7F">
      <w:pPr>
        <w:pStyle w:val="FormatvorlageUEKls3schlussLinks0cm"/>
        <w:rPr>
          <w:b/>
          <w:lang w:val="en-GB"/>
        </w:rPr>
      </w:pPr>
      <w:r w:rsidRPr="00115B10">
        <w:rPr>
          <w:b/>
          <w:lang w:val="en-GB" w:bidi="en-US"/>
        </w:rPr>
        <w:t>“New for old” deduction (Clause A5.5 ADB 2024)</w:t>
      </w:r>
    </w:p>
    <w:p w14:paraId="4467DC1C" w14:textId="21F95B31" w:rsidR="004D2274" w:rsidRPr="00115B10" w:rsidRDefault="00AE476E" w:rsidP="004D2274">
      <w:pPr>
        <w:pStyle w:val="FormatvorlageUEKls3schlussLinks0cm"/>
        <w:numPr>
          <w:ilvl w:val="0"/>
          <w:numId w:val="0"/>
        </w:numPr>
        <w:ind w:left="709"/>
        <w:rPr>
          <w:lang w:val="en-GB"/>
        </w:rPr>
      </w:pPr>
      <w:r w:rsidRPr="00115B10">
        <w:rPr>
          <w:lang w:val="en-GB" w:bidi="en-US"/>
        </w:rPr>
        <w:t>Pursuant to Clause A5.5 ADB 2024, the following “new for old” deduction is agreed: ...</w:t>
      </w:r>
    </w:p>
    <w:p w14:paraId="4BB04103" w14:textId="5AB749A7" w:rsidR="0021023C" w:rsidRPr="00115B10" w:rsidRDefault="00840D17" w:rsidP="0021023C">
      <w:pPr>
        <w:pStyle w:val="FormatvorlageUEKls3schlussLinks0cm"/>
        <w:numPr>
          <w:ilvl w:val="0"/>
          <w:numId w:val="0"/>
        </w:numPr>
        <w:ind w:left="709" w:hanging="709"/>
        <w:rPr>
          <w:b/>
          <w:lang w:val="en-GB"/>
        </w:rPr>
      </w:pPr>
      <w:r w:rsidRPr="00115B10">
        <w:rPr>
          <w:b/>
          <w:lang w:val="en-GB" w:bidi="en-US"/>
        </w:rPr>
        <w:t>Section B</w:t>
      </w:r>
      <w:r w:rsidRPr="00115B10">
        <w:rPr>
          <w:b/>
          <w:lang w:val="en-GB" w:bidi="en-US"/>
        </w:rPr>
        <w:tab/>
        <w:t>Hull insurance</w:t>
      </w:r>
    </w:p>
    <w:p w14:paraId="4AA472A6" w14:textId="68957C0E" w:rsidR="00DD6788" w:rsidRPr="00115B10" w:rsidRDefault="00DD6788" w:rsidP="00DD6788">
      <w:pPr>
        <w:pStyle w:val="FormatvorlageUEKls3schlussLinks0cm"/>
        <w:rPr>
          <w:b/>
          <w:lang w:val="en-GB"/>
        </w:rPr>
      </w:pPr>
      <w:r w:rsidRPr="00115B10">
        <w:rPr>
          <w:b/>
          <w:lang w:val="en-GB" w:bidi="en-US"/>
        </w:rPr>
        <w:t xml:space="preserve">Sum insured (Clause B11.1 ADB 2024) </w:t>
      </w:r>
    </w:p>
    <w:p w14:paraId="7AA731C1" w14:textId="4AB2C343" w:rsidR="00DD6788" w:rsidRPr="00115B10" w:rsidRDefault="00DD6788" w:rsidP="00DD6788">
      <w:pPr>
        <w:pStyle w:val="FormatvorlageUEKls3schlussLinks0cm"/>
        <w:numPr>
          <w:ilvl w:val="0"/>
          <w:numId w:val="0"/>
        </w:numPr>
        <w:spacing w:after="0"/>
        <w:ind w:left="709"/>
        <w:rPr>
          <w:bCs/>
          <w:lang w:val="en-GB"/>
        </w:rPr>
      </w:pPr>
      <w:r w:rsidRPr="00115B10">
        <w:rPr>
          <w:lang w:val="en-GB" w:bidi="en-US"/>
        </w:rPr>
        <w:t>The sum insured agreed pursuant to Clause B11.1 ADB 2024 for the hull insurance amounts to: ...</w:t>
      </w:r>
    </w:p>
    <w:p w14:paraId="6CC68BC6" w14:textId="77777777" w:rsidR="00DD6788" w:rsidRPr="00115B10" w:rsidRDefault="00DD6788" w:rsidP="00DD6788">
      <w:pPr>
        <w:pStyle w:val="FormatvorlageUEKls3schlussLinks0cm"/>
        <w:numPr>
          <w:ilvl w:val="0"/>
          <w:numId w:val="0"/>
        </w:numPr>
        <w:spacing w:after="0"/>
        <w:ind w:left="709"/>
        <w:rPr>
          <w:b/>
          <w:lang w:val="en-GB"/>
        </w:rPr>
      </w:pPr>
    </w:p>
    <w:p w14:paraId="5965266D" w14:textId="49C503F2" w:rsidR="00EF32B1" w:rsidRPr="00115B10" w:rsidRDefault="00C95A0C" w:rsidP="009860E1">
      <w:pPr>
        <w:pStyle w:val="FormatvorlageUEKls3schlussLinks0cm"/>
        <w:spacing w:after="0"/>
        <w:rPr>
          <w:b/>
          <w:lang w:val="en-GB"/>
        </w:rPr>
      </w:pPr>
      <w:bookmarkStart w:id="0" w:name="_Hlk146188268"/>
      <w:r w:rsidRPr="00115B10">
        <w:rPr>
          <w:b/>
          <w:lang w:val="en-GB" w:bidi="en-US"/>
        </w:rPr>
        <w:t xml:space="preserve">Present value as the insured value (Clause B11.4 ADB 2024) </w:t>
      </w:r>
    </w:p>
    <w:bookmarkEnd w:id="0"/>
    <w:p w14:paraId="5BCE3B68" w14:textId="77777777" w:rsidR="00D00F58" w:rsidRPr="00115B10" w:rsidRDefault="00D00F58" w:rsidP="009860E1">
      <w:pPr>
        <w:pStyle w:val="FormatvorlageUEKls3schlussLinks0cm"/>
        <w:numPr>
          <w:ilvl w:val="0"/>
          <w:numId w:val="0"/>
        </w:numPr>
        <w:spacing w:after="0"/>
        <w:ind w:left="709"/>
        <w:rPr>
          <w:lang w:val="en-GB"/>
        </w:rPr>
      </w:pPr>
    </w:p>
    <w:p w14:paraId="5965266E" w14:textId="11A06066" w:rsidR="0018496E" w:rsidRPr="00115B10" w:rsidRDefault="00C95A0C" w:rsidP="009860E1">
      <w:pPr>
        <w:pStyle w:val="FormatvorlageUEKls3schlussLinks0cm"/>
        <w:numPr>
          <w:ilvl w:val="0"/>
          <w:numId w:val="0"/>
        </w:numPr>
        <w:spacing w:after="0"/>
        <w:ind w:left="709"/>
        <w:rPr>
          <w:lang w:val="en-GB"/>
        </w:rPr>
      </w:pPr>
      <w:r w:rsidRPr="00115B10">
        <w:rPr>
          <w:lang w:val="en-GB" w:bidi="en-US"/>
        </w:rPr>
        <w:t>It is agreed pursuant to Clause B11.4 ADB 2024 that the insured value is the present value of the insured vessel at the start of the respective current policy year.</w:t>
      </w:r>
    </w:p>
    <w:p w14:paraId="5965266F" w14:textId="77777777" w:rsidR="009860E1" w:rsidRPr="00115B10" w:rsidRDefault="009860E1" w:rsidP="009860E1">
      <w:pPr>
        <w:pStyle w:val="FormatvorlageUEKls3schlussLinks0cm"/>
        <w:numPr>
          <w:ilvl w:val="0"/>
          <w:numId w:val="0"/>
        </w:numPr>
        <w:spacing w:after="0"/>
        <w:ind w:left="709"/>
        <w:rPr>
          <w:lang w:val="en-GB"/>
        </w:rPr>
      </w:pPr>
    </w:p>
    <w:p w14:paraId="1B5FC1D6" w14:textId="2F0CB3CE" w:rsidR="00840D17" w:rsidRPr="00115B10" w:rsidRDefault="00A175FE" w:rsidP="00115B10">
      <w:pPr>
        <w:pStyle w:val="FormatvorlageUEKls3schlussLinks0cm"/>
        <w:numPr>
          <w:ilvl w:val="0"/>
          <w:numId w:val="0"/>
        </w:numPr>
        <w:ind w:left="1416" w:hanging="1416"/>
        <w:rPr>
          <w:b/>
          <w:lang w:val="en-GB"/>
        </w:rPr>
      </w:pPr>
      <w:r w:rsidRPr="00115B10">
        <w:rPr>
          <w:b/>
          <w:lang w:val="en-GB" w:bidi="en-US"/>
        </w:rPr>
        <w:t>Section C</w:t>
      </w:r>
      <w:r w:rsidRPr="00115B10">
        <w:rPr>
          <w:b/>
          <w:lang w:val="en-GB" w:bidi="en-US"/>
        </w:rPr>
        <w:tab/>
        <w:t>Insurance of third-party liability claims</w:t>
      </w:r>
    </w:p>
    <w:p w14:paraId="0C622C4D" w14:textId="2635331B" w:rsidR="00D00F58" w:rsidRPr="00115B10" w:rsidRDefault="00C95A0C" w:rsidP="00C95A0C">
      <w:pPr>
        <w:pStyle w:val="FormatvorlageUEKls3schlussLinks0cm"/>
        <w:rPr>
          <w:b/>
          <w:lang w:val="en-GB"/>
        </w:rPr>
      </w:pPr>
      <w:r w:rsidRPr="00115B10">
        <w:rPr>
          <w:b/>
          <w:lang w:val="en-GB" w:bidi="en-US"/>
        </w:rPr>
        <w:t xml:space="preserve">Sum insured (Clause C4.1 ADB 2024) </w:t>
      </w:r>
    </w:p>
    <w:p w14:paraId="363ACF9B" w14:textId="3E092962" w:rsidR="00C95A0C" w:rsidRPr="00115B10" w:rsidRDefault="00C95A0C" w:rsidP="00D00F58">
      <w:pPr>
        <w:pStyle w:val="FormatvorlageUEKls3schlussLinks0cm"/>
        <w:numPr>
          <w:ilvl w:val="0"/>
          <w:numId w:val="0"/>
        </w:numPr>
        <w:ind w:left="709"/>
        <w:rPr>
          <w:b/>
          <w:lang w:val="en-GB"/>
        </w:rPr>
      </w:pPr>
      <w:r w:rsidRPr="00115B10">
        <w:rPr>
          <w:lang w:val="en-GB" w:bidi="en-US"/>
        </w:rPr>
        <w:t>The sum insured agreed pursuant to Clause C4.1 ADB 2024 for the liability to third parties amounts to: ...</w:t>
      </w:r>
    </w:p>
    <w:p w14:paraId="0C4F31A2" w14:textId="77777777" w:rsidR="0062378E" w:rsidRPr="00115B10" w:rsidRDefault="0062378E">
      <w:pPr>
        <w:rPr>
          <w:rFonts w:ascii="Arial" w:hAnsi="Arial"/>
          <w:b/>
          <w:sz w:val="18"/>
          <w:szCs w:val="20"/>
          <w:lang w:val="en-GB"/>
        </w:rPr>
      </w:pPr>
      <w:r w:rsidRPr="00115B10">
        <w:rPr>
          <w:b/>
          <w:lang w:val="en-GB" w:bidi="en-US"/>
        </w:rPr>
        <w:br w:type="page"/>
      </w:r>
    </w:p>
    <w:p w14:paraId="2EF66C8F" w14:textId="2547C1F9" w:rsidR="00CF4835" w:rsidRPr="00115B10" w:rsidRDefault="009A645F" w:rsidP="00A06894">
      <w:pPr>
        <w:pStyle w:val="FormatvorlageUEKls3schlussLinks0cm"/>
        <w:numPr>
          <w:ilvl w:val="0"/>
          <w:numId w:val="0"/>
        </w:numPr>
        <w:ind w:left="709" w:hanging="709"/>
        <w:rPr>
          <w:b/>
          <w:lang w:val="en-GB"/>
        </w:rPr>
      </w:pPr>
      <w:r w:rsidRPr="00115B10">
        <w:rPr>
          <w:b/>
          <w:lang w:val="en-GB" w:bidi="en-US"/>
        </w:rPr>
        <w:lastRenderedPageBreak/>
        <w:t>Optional Sections (where agreed)</w:t>
      </w:r>
    </w:p>
    <w:p w14:paraId="599D4DC2" w14:textId="061556AE" w:rsidR="00A052C2" w:rsidRPr="00115B10" w:rsidRDefault="00A4007E" w:rsidP="00A052C2">
      <w:pPr>
        <w:pStyle w:val="FormatvorlageUEKls3schlussLinks0cm"/>
        <w:numPr>
          <w:ilvl w:val="0"/>
          <w:numId w:val="0"/>
        </w:numPr>
        <w:ind w:left="709" w:hanging="709"/>
        <w:rPr>
          <w:b/>
          <w:lang w:val="en-GB"/>
        </w:rPr>
      </w:pPr>
      <w:r w:rsidRPr="00115B10">
        <w:rPr>
          <w:b/>
          <w:lang w:val="en-GB" w:bidi="en-US"/>
        </w:rPr>
        <w:t>Section D</w:t>
      </w:r>
      <w:r w:rsidRPr="00115B10">
        <w:rPr>
          <w:b/>
          <w:lang w:val="en-GB" w:bidi="en-US"/>
        </w:rPr>
        <w:tab/>
      </w:r>
      <w:r w:rsidR="00605F23">
        <w:rPr>
          <w:b/>
          <w:lang w:val="en-GB" w:bidi="en-US"/>
        </w:rPr>
        <w:t>Insurance</w:t>
      </w:r>
      <w:r w:rsidRPr="00115B10">
        <w:rPr>
          <w:b/>
          <w:lang w:val="en-GB" w:bidi="en-US"/>
        </w:rPr>
        <w:t xml:space="preserve"> </w:t>
      </w:r>
      <w:r w:rsidR="00F472BF">
        <w:rPr>
          <w:b/>
          <w:lang w:val="en-GB" w:bidi="en-US"/>
        </w:rPr>
        <w:t>of</w:t>
      </w:r>
      <w:r w:rsidRPr="00115B10">
        <w:rPr>
          <w:b/>
          <w:lang w:val="en-GB" w:bidi="en-US"/>
        </w:rPr>
        <w:t xml:space="preserve"> wreck removal</w:t>
      </w:r>
    </w:p>
    <w:p w14:paraId="740EE056" w14:textId="14AC977A" w:rsidR="00727D93" w:rsidRPr="00115B10" w:rsidRDefault="00727D93" w:rsidP="00727D93">
      <w:pPr>
        <w:pStyle w:val="FormatvorlageUEKls3schlussLinks0cm"/>
        <w:rPr>
          <w:b/>
          <w:lang w:val="en-GB"/>
        </w:rPr>
      </w:pPr>
      <w:r w:rsidRPr="00115B10">
        <w:rPr>
          <w:b/>
          <w:lang w:val="en-GB" w:bidi="en-US"/>
        </w:rPr>
        <w:t xml:space="preserve">Subject matter of indemnity (Clause D2.2 ADB 2024) </w:t>
      </w:r>
    </w:p>
    <w:p w14:paraId="44097481" w14:textId="325FACB1" w:rsidR="00727D93" w:rsidRPr="00115B10" w:rsidRDefault="000F3D83" w:rsidP="00727D93">
      <w:pPr>
        <w:pStyle w:val="FormatvorlageUEKls3schlussLinks0cm"/>
        <w:numPr>
          <w:ilvl w:val="0"/>
          <w:numId w:val="0"/>
        </w:numPr>
        <w:ind w:left="709"/>
        <w:rPr>
          <w:lang w:val="en-GB"/>
        </w:rPr>
      </w:pPr>
      <w:r w:rsidRPr="00115B10">
        <w:rPr>
          <w:lang w:val="en-GB" w:bidi="en-US"/>
        </w:rPr>
        <w:t>It is agreed pursuant to Clause D2.2 ADB 2024 that the Insurer will also indemnify for the cost incurred, as a consequence of an indemnifiable hull damage as per the provisions in Section B, for wreck removal if an authorised third party asserts a statutory claim to remove the wreck or asserts a claim for the costs associated therewith against the Insured.</w:t>
      </w:r>
    </w:p>
    <w:p w14:paraId="3EE20772" w14:textId="3C3BDDB1" w:rsidR="00D00F58" w:rsidRPr="00115B10" w:rsidRDefault="00C95A0C" w:rsidP="00D00F58">
      <w:pPr>
        <w:pStyle w:val="FormatvorlageUEKls3schlussLinks0cm"/>
        <w:rPr>
          <w:b/>
          <w:lang w:val="en-GB"/>
        </w:rPr>
      </w:pPr>
      <w:r w:rsidRPr="00115B10">
        <w:rPr>
          <w:b/>
          <w:lang w:val="en-GB" w:bidi="en-US"/>
        </w:rPr>
        <w:t xml:space="preserve">Sum insured (Clause D4 ADB 2024) </w:t>
      </w:r>
    </w:p>
    <w:p w14:paraId="694FBFDF" w14:textId="298C325F" w:rsidR="00C95A0C" w:rsidRPr="00115B10" w:rsidRDefault="00C95A0C" w:rsidP="00D00F58">
      <w:pPr>
        <w:pStyle w:val="FormatvorlageUEKls3schlussLinks0cm"/>
        <w:numPr>
          <w:ilvl w:val="0"/>
          <w:numId w:val="0"/>
        </w:numPr>
        <w:ind w:left="709"/>
        <w:rPr>
          <w:b/>
          <w:lang w:val="en-GB"/>
        </w:rPr>
      </w:pPr>
      <w:r w:rsidRPr="00115B10">
        <w:rPr>
          <w:lang w:val="en-GB" w:bidi="en-US"/>
        </w:rPr>
        <w:t>The sum insured agreed pursuant to Clause D4 ADB 2024 for wreck removal amounts to: ...</w:t>
      </w:r>
    </w:p>
    <w:p w14:paraId="77897BB8" w14:textId="7DE2E205" w:rsidR="00A4007E" w:rsidRPr="00115B10" w:rsidRDefault="00E97F60" w:rsidP="00115B10">
      <w:pPr>
        <w:pStyle w:val="FormatvorlageUEKls3schlussLinks0cm"/>
        <w:numPr>
          <w:ilvl w:val="0"/>
          <w:numId w:val="0"/>
        </w:numPr>
        <w:ind w:left="1416" w:hanging="1416"/>
        <w:rPr>
          <w:b/>
          <w:lang w:val="en-GB"/>
        </w:rPr>
      </w:pPr>
      <w:r w:rsidRPr="00115B10">
        <w:rPr>
          <w:b/>
          <w:lang w:val="en-GB" w:bidi="en-US"/>
        </w:rPr>
        <w:t>Section E</w:t>
      </w:r>
      <w:r w:rsidRPr="00115B10">
        <w:rPr>
          <w:b/>
          <w:lang w:val="en-GB" w:bidi="en-US"/>
        </w:rPr>
        <w:tab/>
        <w:t>Extended cover for loss of or damage to machinery</w:t>
      </w:r>
    </w:p>
    <w:p w14:paraId="612EC666" w14:textId="5FB495E2" w:rsidR="00774F2C" w:rsidRPr="00115B10" w:rsidRDefault="002A560B" w:rsidP="00254455">
      <w:pPr>
        <w:pStyle w:val="FormatvorlageUEKls3schlussLinks0cm"/>
        <w:rPr>
          <w:b/>
          <w:lang w:val="en-GB"/>
        </w:rPr>
      </w:pPr>
      <w:r w:rsidRPr="00115B10">
        <w:rPr>
          <w:b/>
          <w:lang w:val="en-GB" w:bidi="en-US"/>
        </w:rPr>
        <w:t>Deduction for increase in value (Clause E5.2.1 ADB 2024)</w:t>
      </w:r>
    </w:p>
    <w:p w14:paraId="1AFFEAC2" w14:textId="55B59DA2" w:rsidR="002A560B" w:rsidRPr="00115B10" w:rsidRDefault="002A560B" w:rsidP="002A560B">
      <w:pPr>
        <w:pStyle w:val="FormatvorlageUEKls3schlussLinks0cm"/>
        <w:numPr>
          <w:ilvl w:val="0"/>
          <w:numId w:val="0"/>
        </w:numPr>
        <w:ind w:left="709"/>
        <w:rPr>
          <w:lang w:val="en-GB"/>
        </w:rPr>
      </w:pPr>
      <w:r w:rsidRPr="00115B10">
        <w:rPr>
          <w:lang w:val="en-GB" w:bidi="en-US"/>
        </w:rPr>
        <w:t>The deduction for the increase in value pursuant to Clause E5.2.1 ADB 2024 amounts to .... percent per year since manufacturing, but no more than ... percent.</w:t>
      </w:r>
    </w:p>
    <w:p w14:paraId="7BB72585" w14:textId="2DE6DCFD" w:rsidR="00254455" w:rsidRPr="00115B10" w:rsidRDefault="00DA04FA" w:rsidP="00254455">
      <w:pPr>
        <w:pStyle w:val="FormatvorlageUEKls3schlussLinks0cm"/>
        <w:rPr>
          <w:b/>
          <w:lang w:val="en-GB"/>
        </w:rPr>
      </w:pPr>
      <w:r w:rsidRPr="00115B10">
        <w:rPr>
          <w:b/>
          <w:lang w:val="en-GB" w:bidi="en-US"/>
        </w:rPr>
        <w:t xml:space="preserve">Machinery deductible (Clause E7.1 ADB 2024) </w:t>
      </w:r>
    </w:p>
    <w:p w14:paraId="11C46BFF" w14:textId="526BFEFF" w:rsidR="00DA04FA" w:rsidRPr="00115B10" w:rsidRDefault="00DA04FA" w:rsidP="00254455">
      <w:pPr>
        <w:pStyle w:val="FormatvorlageUEKls3schlussLinks0cm"/>
        <w:numPr>
          <w:ilvl w:val="0"/>
          <w:numId w:val="0"/>
        </w:numPr>
        <w:ind w:left="709"/>
        <w:rPr>
          <w:b/>
          <w:lang w:val="en-GB"/>
        </w:rPr>
      </w:pPr>
      <w:r w:rsidRPr="00115B10">
        <w:rPr>
          <w:lang w:val="en-GB" w:bidi="en-US"/>
        </w:rPr>
        <w:t>The deductible agreed as per Clause E7.1 ADB 2024 for loss of or damage to machinery amounts to ...</w:t>
      </w:r>
    </w:p>
    <w:p w14:paraId="55C7708A" w14:textId="1496A7B8" w:rsidR="00950DFF" w:rsidRPr="00115B10" w:rsidRDefault="00410EF2" w:rsidP="00115B10">
      <w:pPr>
        <w:pStyle w:val="FormatvorlageUEKls3schlussLinks0cm"/>
        <w:numPr>
          <w:ilvl w:val="0"/>
          <w:numId w:val="0"/>
        </w:numPr>
        <w:ind w:left="1416" w:hanging="1416"/>
        <w:rPr>
          <w:b/>
          <w:lang w:val="en-GB"/>
        </w:rPr>
      </w:pPr>
      <w:r w:rsidRPr="00115B10">
        <w:rPr>
          <w:b/>
          <w:lang w:val="en-GB" w:bidi="en-US"/>
        </w:rPr>
        <w:t>Section F</w:t>
      </w:r>
      <w:r w:rsidRPr="00115B10">
        <w:rPr>
          <w:b/>
          <w:lang w:val="en-GB" w:bidi="en-US"/>
        </w:rPr>
        <w:tab/>
        <w:t>Extended cover for loss of or damage to electronic and electrotechnical systems and equipment</w:t>
      </w:r>
    </w:p>
    <w:p w14:paraId="6CCBAB54" w14:textId="4A99EC76" w:rsidR="00EA3253" w:rsidRPr="00115B10" w:rsidRDefault="00EA3253" w:rsidP="00EA3253">
      <w:pPr>
        <w:pStyle w:val="FormatvorlageUEKls3schlussLinks0cm"/>
        <w:rPr>
          <w:b/>
          <w:lang w:val="en-GB"/>
        </w:rPr>
      </w:pPr>
      <w:r w:rsidRPr="00115B10">
        <w:rPr>
          <w:b/>
          <w:lang w:val="en-GB" w:bidi="en-US"/>
        </w:rPr>
        <w:t xml:space="preserve">Subject-matter insured (Clause F2.1.5 ADB 2024) </w:t>
      </w:r>
    </w:p>
    <w:p w14:paraId="1CC6C25A" w14:textId="2F14E987" w:rsidR="00EA3253" w:rsidRPr="00115B10" w:rsidRDefault="00EA3253" w:rsidP="00EA3253">
      <w:pPr>
        <w:pStyle w:val="FormatvorlageUEKls3schlussLinks0cm"/>
        <w:numPr>
          <w:ilvl w:val="0"/>
          <w:numId w:val="0"/>
        </w:numPr>
        <w:ind w:left="709"/>
        <w:rPr>
          <w:bCs/>
          <w:lang w:val="en-GB"/>
        </w:rPr>
      </w:pPr>
      <w:r w:rsidRPr="00115B10">
        <w:rPr>
          <w:lang w:val="en-GB" w:bidi="en-US"/>
        </w:rPr>
        <w:t>It is agreed pursuant to Clause F2.1.5 ADB 2024 that any immovable operational electronic and electrotechnical systems and equipment normally carried on board the insured vessel, which are not intended to be used directly for the operation of the vessel, are also insured.</w:t>
      </w:r>
    </w:p>
    <w:p w14:paraId="3D8FE3CC" w14:textId="0E11545F" w:rsidR="00254455" w:rsidRPr="00115B10" w:rsidRDefault="00254455" w:rsidP="00254455">
      <w:pPr>
        <w:pStyle w:val="FormatvorlageUEKls3schlussLinks0cm"/>
        <w:rPr>
          <w:b/>
          <w:lang w:val="en-GB"/>
        </w:rPr>
      </w:pPr>
      <w:r w:rsidRPr="00115B10">
        <w:rPr>
          <w:b/>
          <w:lang w:val="en-GB" w:bidi="en-US"/>
        </w:rPr>
        <w:t xml:space="preserve">Deductible (Clause F7.1 ADB 2024) </w:t>
      </w:r>
    </w:p>
    <w:p w14:paraId="4B8CA4C1" w14:textId="49B5BADB" w:rsidR="00C95A0C" w:rsidRPr="00115B10" w:rsidRDefault="00254455" w:rsidP="003A0C93">
      <w:pPr>
        <w:pStyle w:val="FormatvorlageUEKls3schlussLinks0cm"/>
        <w:numPr>
          <w:ilvl w:val="0"/>
          <w:numId w:val="0"/>
        </w:numPr>
        <w:ind w:left="709"/>
        <w:rPr>
          <w:bCs/>
          <w:lang w:val="en-GB"/>
        </w:rPr>
      </w:pPr>
      <w:r w:rsidRPr="00115B10">
        <w:rPr>
          <w:lang w:val="en-GB" w:bidi="en-US"/>
        </w:rPr>
        <w:t>The deductible agreed as per Clause F7.1 ADB 2024 for loss of or damage to electronic and electrotechnical systems and equipment amounts to: ...</w:t>
      </w:r>
    </w:p>
    <w:p w14:paraId="4BBA9C70" w14:textId="47488C67" w:rsidR="004C7D60" w:rsidRPr="00115B10" w:rsidRDefault="00AD1D36" w:rsidP="00115B10">
      <w:pPr>
        <w:pStyle w:val="FormatvorlageUEKls3schlussLinks0cm"/>
        <w:numPr>
          <w:ilvl w:val="0"/>
          <w:numId w:val="0"/>
        </w:numPr>
        <w:ind w:left="1416" w:hanging="1416"/>
        <w:rPr>
          <w:b/>
          <w:lang w:val="en-GB"/>
        </w:rPr>
      </w:pPr>
      <w:r w:rsidRPr="00115B10">
        <w:rPr>
          <w:b/>
          <w:lang w:val="en-GB" w:bidi="en-US"/>
        </w:rPr>
        <w:t>Section H</w:t>
      </w:r>
      <w:r w:rsidRPr="00115B10">
        <w:rPr>
          <w:b/>
          <w:lang w:val="en-GB" w:bidi="en-US"/>
        </w:rPr>
        <w:tab/>
        <w:t xml:space="preserve">Insurance of damage caused by cargo and damage to the </w:t>
      </w:r>
      <w:proofErr w:type="gramStart"/>
      <w:r w:rsidRPr="00115B10">
        <w:rPr>
          <w:b/>
          <w:lang w:val="en-GB" w:bidi="en-US"/>
        </w:rPr>
        <w:t>coating</w:t>
      </w:r>
      <w:proofErr w:type="gramEnd"/>
    </w:p>
    <w:p w14:paraId="3A3C90A6" w14:textId="49DE6A65" w:rsidR="002D007E" w:rsidRPr="00115B10" w:rsidRDefault="002D007E" w:rsidP="009860E1">
      <w:pPr>
        <w:pStyle w:val="FormatvorlageUEKls3schlussLinks0cm"/>
        <w:spacing w:after="0"/>
        <w:rPr>
          <w:b/>
          <w:lang w:val="en-GB"/>
        </w:rPr>
      </w:pPr>
      <w:r w:rsidRPr="00115B10">
        <w:rPr>
          <w:b/>
          <w:lang w:val="en-GB" w:bidi="en-US"/>
        </w:rPr>
        <w:t>Insurance of damage to the coating (Clause H2.2.1 ADB 2024)</w:t>
      </w:r>
    </w:p>
    <w:p w14:paraId="559DBA17" w14:textId="77777777" w:rsidR="00D00F58" w:rsidRPr="00115B10" w:rsidRDefault="00D00F58" w:rsidP="002D007E">
      <w:pPr>
        <w:pStyle w:val="FormatvorlageUEKls3schlussLinks0cm"/>
        <w:numPr>
          <w:ilvl w:val="0"/>
          <w:numId w:val="0"/>
        </w:numPr>
        <w:spacing w:after="0"/>
        <w:ind w:left="709"/>
        <w:rPr>
          <w:lang w:val="en-GB"/>
        </w:rPr>
      </w:pPr>
    </w:p>
    <w:p w14:paraId="2E79BCAC" w14:textId="53C9C7B9" w:rsidR="002D007E" w:rsidRPr="00115B10" w:rsidRDefault="002D007E" w:rsidP="002D007E">
      <w:pPr>
        <w:pStyle w:val="FormatvorlageUEKls3schlussLinks0cm"/>
        <w:numPr>
          <w:ilvl w:val="0"/>
          <w:numId w:val="0"/>
        </w:numPr>
        <w:spacing w:after="0"/>
        <w:ind w:left="709"/>
        <w:rPr>
          <w:lang w:val="en-GB"/>
        </w:rPr>
      </w:pPr>
      <w:r w:rsidRPr="00115B10">
        <w:rPr>
          <w:lang w:val="en-GB" w:bidi="en-US"/>
        </w:rPr>
        <w:t>It is agreed pursuant to Clause H2.2.1 ADB 2024 that damage to the coating in cargo tanks of the insured vessel caused by unsuited cargo is insured.</w:t>
      </w:r>
    </w:p>
    <w:p w14:paraId="5D4CEB2E" w14:textId="77777777" w:rsidR="00040AE8" w:rsidRPr="00115B10" w:rsidRDefault="00040AE8" w:rsidP="002D007E">
      <w:pPr>
        <w:pStyle w:val="FormatvorlageUEKls3schlussLinks0cm"/>
        <w:numPr>
          <w:ilvl w:val="0"/>
          <w:numId w:val="0"/>
        </w:numPr>
        <w:spacing w:after="0"/>
        <w:ind w:left="709"/>
        <w:rPr>
          <w:lang w:val="en-GB"/>
        </w:rPr>
      </w:pPr>
    </w:p>
    <w:p w14:paraId="59652670" w14:textId="74A49322" w:rsidR="009860E1" w:rsidRPr="00115B10" w:rsidRDefault="003F6B5F" w:rsidP="009860E1">
      <w:pPr>
        <w:pStyle w:val="FormatvorlageUEKls3schlussLinks0cm"/>
        <w:spacing w:after="0"/>
        <w:rPr>
          <w:b/>
          <w:lang w:val="en-GB"/>
        </w:rPr>
      </w:pPr>
      <w:r w:rsidRPr="00115B10">
        <w:rPr>
          <w:b/>
          <w:lang w:val="en-GB" w:bidi="en-US"/>
        </w:rPr>
        <w:t xml:space="preserve">Deductible for damage to the coating in cargo tanks (Clause H4.2 ADB 2024) </w:t>
      </w:r>
    </w:p>
    <w:p w14:paraId="1C4CBAEF" w14:textId="77777777" w:rsidR="00D00F58" w:rsidRPr="00115B10" w:rsidRDefault="00D00F58" w:rsidP="003F6B5F">
      <w:pPr>
        <w:pStyle w:val="FormatvorlageUEKls3schlussLinks0cm"/>
        <w:numPr>
          <w:ilvl w:val="0"/>
          <w:numId w:val="0"/>
        </w:numPr>
        <w:spacing w:after="0"/>
        <w:ind w:left="709"/>
        <w:rPr>
          <w:lang w:val="en-GB"/>
        </w:rPr>
      </w:pPr>
    </w:p>
    <w:p w14:paraId="59652672" w14:textId="40981D28" w:rsidR="009860E1" w:rsidRPr="00115B10" w:rsidRDefault="00040AE8" w:rsidP="003F6B5F">
      <w:pPr>
        <w:pStyle w:val="FormatvorlageUEKls3schlussLinks0cm"/>
        <w:numPr>
          <w:ilvl w:val="0"/>
          <w:numId w:val="0"/>
        </w:numPr>
        <w:spacing w:after="0"/>
        <w:ind w:left="709"/>
        <w:rPr>
          <w:lang w:val="en-GB"/>
        </w:rPr>
      </w:pPr>
      <w:r w:rsidRPr="00115B10">
        <w:rPr>
          <w:lang w:val="en-GB" w:bidi="en-US"/>
        </w:rPr>
        <w:t xml:space="preserve">The deductible agreed as per Clause H4.2 ADB 2024 for damage to the coating in cargo tanks caused by unsuited cargo within the meaning of Clause H2.2.1 ADB 2024 amounts to ... percent of the claim amount per year or part thereof after the damaged coating was applied, up to a maximum of ... percent. </w:t>
      </w:r>
    </w:p>
    <w:p w14:paraId="0B8F6D42" w14:textId="77777777" w:rsidR="003A0C93" w:rsidRPr="00115B10" w:rsidRDefault="003A0C93" w:rsidP="003F6B5F">
      <w:pPr>
        <w:pStyle w:val="FormatvorlageUEKls3schlussLinks0cm"/>
        <w:numPr>
          <w:ilvl w:val="0"/>
          <w:numId w:val="0"/>
        </w:numPr>
        <w:spacing w:after="0"/>
        <w:ind w:left="709"/>
        <w:rPr>
          <w:lang w:val="en-GB"/>
        </w:rPr>
      </w:pPr>
    </w:p>
    <w:p w14:paraId="3A3BBE3E" w14:textId="7493296F" w:rsidR="00C414F0" w:rsidRPr="00115B10" w:rsidRDefault="00C414F0" w:rsidP="00115B10">
      <w:pPr>
        <w:pStyle w:val="FormatvorlageUEKls3schlussLinks0cm"/>
        <w:numPr>
          <w:ilvl w:val="0"/>
          <w:numId w:val="0"/>
        </w:numPr>
        <w:spacing w:after="0"/>
        <w:ind w:left="1416" w:hanging="1416"/>
        <w:rPr>
          <w:b/>
          <w:lang w:val="en-GB"/>
        </w:rPr>
      </w:pPr>
      <w:r w:rsidRPr="00115B10">
        <w:rPr>
          <w:b/>
          <w:lang w:val="en-GB" w:bidi="en-US"/>
        </w:rPr>
        <w:t>Section I</w:t>
      </w:r>
      <w:r w:rsidRPr="00115B10">
        <w:rPr>
          <w:b/>
          <w:lang w:val="en-GB" w:bidi="en-US"/>
        </w:rPr>
        <w:tab/>
        <w:t>Insurance of motor vehicles carried on the vessel</w:t>
      </w:r>
    </w:p>
    <w:p w14:paraId="1B45FFE2" w14:textId="77777777" w:rsidR="00C414F0" w:rsidRPr="00115B10" w:rsidRDefault="00C414F0" w:rsidP="00C414F0">
      <w:pPr>
        <w:pStyle w:val="FormatvorlageUEKls3schlussLinks0cm"/>
        <w:numPr>
          <w:ilvl w:val="0"/>
          <w:numId w:val="0"/>
        </w:numPr>
        <w:spacing w:after="0"/>
        <w:ind w:left="709" w:hanging="709"/>
        <w:rPr>
          <w:b/>
          <w:lang w:val="en-GB"/>
        </w:rPr>
      </w:pPr>
    </w:p>
    <w:p w14:paraId="5BD678D3" w14:textId="68AD7583" w:rsidR="00A81A8A" w:rsidRPr="00115B10" w:rsidRDefault="00A81A8A" w:rsidP="009860E1">
      <w:pPr>
        <w:pStyle w:val="FormatvorlageUEKls3schlussLinks0cm"/>
        <w:spacing w:after="0"/>
        <w:rPr>
          <w:b/>
          <w:lang w:val="en-GB"/>
        </w:rPr>
      </w:pPr>
      <w:r w:rsidRPr="00115B10">
        <w:rPr>
          <w:b/>
          <w:lang w:val="en-GB" w:bidi="en-US"/>
        </w:rPr>
        <w:t>Subject-matter insured (Clause I2 ADB 2024)</w:t>
      </w:r>
    </w:p>
    <w:p w14:paraId="0969AC01" w14:textId="77777777" w:rsidR="00A81A8A" w:rsidRPr="00115B10" w:rsidRDefault="00A81A8A" w:rsidP="00A81A8A">
      <w:pPr>
        <w:pStyle w:val="FormatvorlageUEKls3schlussLinks0cm"/>
        <w:numPr>
          <w:ilvl w:val="0"/>
          <w:numId w:val="0"/>
        </w:numPr>
        <w:spacing w:after="0"/>
        <w:ind w:left="709"/>
        <w:rPr>
          <w:bCs/>
          <w:lang w:val="en-GB"/>
        </w:rPr>
      </w:pPr>
    </w:p>
    <w:p w14:paraId="38D687E5" w14:textId="61845B00" w:rsidR="00A81A8A" w:rsidRPr="00115B10" w:rsidRDefault="00A81A8A" w:rsidP="00A81A8A">
      <w:pPr>
        <w:pStyle w:val="FormatvorlageUEKls3schlussLinks0cm"/>
        <w:numPr>
          <w:ilvl w:val="0"/>
          <w:numId w:val="0"/>
        </w:numPr>
        <w:spacing w:after="0"/>
        <w:ind w:left="709"/>
        <w:rPr>
          <w:bCs/>
          <w:lang w:val="en-GB"/>
        </w:rPr>
      </w:pPr>
      <w:r w:rsidRPr="00115B10">
        <w:rPr>
          <w:lang w:val="en-GB" w:bidi="en-US"/>
        </w:rPr>
        <w:t>The following motor vehicles are insured pursuant to Clause I2 ADB 2024: ...</w:t>
      </w:r>
    </w:p>
    <w:p w14:paraId="3FC234C7" w14:textId="77777777" w:rsidR="00A81A8A" w:rsidRPr="00115B10" w:rsidRDefault="00A81A8A" w:rsidP="00A81A8A">
      <w:pPr>
        <w:pStyle w:val="FormatvorlageUEKls3schlussLinks0cm"/>
        <w:numPr>
          <w:ilvl w:val="0"/>
          <w:numId w:val="0"/>
        </w:numPr>
        <w:spacing w:after="0"/>
        <w:ind w:left="709"/>
        <w:rPr>
          <w:bCs/>
          <w:lang w:val="en-GB"/>
        </w:rPr>
      </w:pPr>
    </w:p>
    <w:p w14:paraId="59652676" w14:textId="61820DA9" w:rsidR="00EF32B1" w:rsidRPr="00115B10" w:rsidRDefault="00D25ED3" w:rsidP="009860E1">
      <w:pPr>
        <w:pStyle w:val="FormatvorlageUEKls3schlussLinks0cm"/>
        <w:spacing w:after="0"/>
        <w:rPr>
          <w:lang w:val="en-GB"/>
        </w:rPr>
      </w:pPr>
      <w:r w:rsidRPr="00115B10">
        <w:rPr>
          <w:b/>
          <w:lang w:val="en-GB" w:bidi="en-US"/>
        </w:rPr>
        <w:t xml:space="preserve">Sum insured (Clause I4.1 ADB 2024) </w:t>
      </w:r>
    </w:p>
    <w:p w14:paraId="476095F6" w14:textId="77777777" w:rsidR="00D00F58" w:rsidRPr="00115B10" w:rsidRDefault="00D00F58" w:rsidP="00D25ED3">
      <w:pPr>
        <w:pStyle w:val="FormatvorlageUEKls3schlussLinks0cm"/>
        <w:numPr>
          <w:ilvl w:val="0"/>
          <w:numId w:val="0"/>
        </w:numPr>
        <w:spacing w:after="0"/>
        <w:ind w:left="709"/>
        <w:rPr>
          <w:lang w:val="en-GB"/>
        </w:rPr>
      </w:pPr>
    </w:p>
    <w:p w14:paraId="59652678" w14:textId="0C660417" w:rsidR="009860E1" w:rsidRPr="00115B10" w:rsidRDefault="00040AE8" w:rsidP="00D25ED3">
      <w:pPr>
        <w:pStyle w:val="FormatvorlageUEKls3schlussLinks0cm"/>
        <w:numPr>
          <w:ilvl w:val="0"/>
          <w:numId w:val="0"/>
        </w:numPr>
        <w:spacing w:after="0"/>
        <w:ind w:left="709"/>
        <w:rPr>
          <w:lang w:val="en-GB"/>
        </w:rPr>
      </w:pPr>
      <w:r w:rsidRPr="00115B10">
        <w:rPr>
          <w:lang w:val="en-GB" w:bidi="en-US"/>
        </w:rPr>
        <w:t xml:space="preserve">The sum insured agreed pursuant to Clause I4.1 ADB 2024 for the motor vehicles carried on the vessel amounts to: ... </w:t>
      </w:r>
    </w:p>
    <w:p w14:paraId="4A13AC26" w14:textId="77777777" w:rsidR="00763145" w:rsidRPr="00115B10" w:rsidRDefault="00763145" w:rsidP="00D25ED3">
      <w:pPr>
        <w:pStyle w:val="FormatvorlageUEKls3schlussLinks0cm"/>
        <w:numPr>
          <w:ilvl w:val="0"/>
          <w:numId w:val="0"/>
        </w:numPr>
        <w:spacing w:after="0"/>
        <w:ind w:left="709"/>
        <w:rPr>
          <w:lang w:val="en-GB"/>
        </w:rPr>
      </w:pPr>
    </w:p>
    <w:p w14:paraId="59652679" w14:textId="5552FBE3" w:rsidR="00D60A91" w:rsidRPr="00115B10" w:rsidRDefault="00764A88" w:rsidP="009860E1">
      <w:pPr>
        <w:pStyle w:val="FormatvorlageUEKls3schlussLinks0cm"/>
        <w:spacing w:after="0"/>
        <w:rPr>
          <w:szCs w:val="18"/>
          <w:lang w:val="en-GB"/>
        </w:rPr>
      </w:pPr>
      <w:bookmarkStart w:id="1" w:name="_Hlk145581726"/>
      <w:r w:rsidRPr="00115B10">
        <w:rPr>
          <w:b/>
          <w:lang w:val="en-GB" w:bidi="en-US"/>
        </w:rPr>
        <w:t xml:space="preserve">Deductible (Clause I11 ADB 2024) </w:t>
      </w:r>
    </w:p>
    <w:p w14:paraId="61DAEB76" w14:textId="77777777" w:rsidR="00D00F58" w:rsidRPr="00115B10" w:rsidRDefault="00D00F58" w:rsidP="00764A88">
      <w:pPr>
        <w:pStyle w:val="FormatvorlageUEKls3schlussLinks0cm"/>
        <w:numPr>
          <w:ilvl w:val="0"/>
          <w:numId w:val="0"/>
        </w:numPr>
        <w:spacing w:after="0"/>
        <w:ind w:left="709"/>
        <w:rPr>
          <w:lang w:val="en-GB"/>
        </w:rPr>
      </w:pPr>
    </w:p>
    <w:p w14:paraId="5965267B" w14:textId="2E691F21" w:rsidR="009860E1" w:rsidRPr="00115B10" w:rsidRDefault="00764A88" w:rsidP="00764A88">
      <w:pPr>
        <w:pStyle w:val="FormatvorlageUEKls3schlussLinks0cm"/>
        <w:numPr>
          <w:ilvl w:val="0"/>
          <w:numId w:val="0"/>
        </w:numPr>
        <w:spacing w:after="0"/>
        <w:ind w:left="709"/>
        <w:rPr>
          <w:szCs w:val="18"/>
          <w:lang w:val="en-GB"/>
        </w:rPr>
      </w:pPr>
      <w:r w:rsidRPr="00115B10">
        <w:rPr>
          <w:lang w:val="en-GB" w:bidi="en-US"/>
        </w:rPr>
        <w:t xml:space="preserve">The deductible agreed as per Clause I10 ADB 2024 for loss of or damage to motor vehicles carried on the vessel amounts to ... </w:t>
      </w:r>
    </w:p>
    <w:bookmarkEnd w:id="1"/>
    <w:p w14:paraId="56830363" w14:textId="77777777" w:rsidR="00764A88" w:rsidRPr="00115B10" w:rsidRDefault="00764A88" w:rsidP="00764A88">
      <w:pPr>
        <w:pStyle w:val="FormatvorlageUEKls3schlussLinks0cm"/>
        <w:numPr>
          <w:ilvl w:val="0"/>
          <w:numId w:val="0"/>
        </w:numPr>
        <w:spacing w:after="0"/>
        <w:ind w:left="709"/>
        <w:rPr>
          <w:szCs w:val="18"/>
          <w:lang w:val="en-GB"/>
        </w:rPr>
      </w:pPr>
    </w:p>
    <w:p w14:paraId="3F80A445" w14:textId="11E081CA" w:rsidR="00C414F0" w:rsidRPr="00115B10" w:rsidRDefault="00BE1C7B" w:rsidP="00115B10">
      <w:pPr>
        <w:pStyle w:val="FormatvorlageUEKls3schlussLinks0cm"/>
        <w:numPr>
          <w:ilvl w:val="0"/>
          <w:numId w:val="0"/>
        </w:numPr>
        <w:spacing w:after="0"/>
        <w:ind w:left="1416" w:hanging="1416"/>
        <w:rPr>
          <w:b/>
          <w:lang w:val="en-GB"/>
        </w:rPr>
      </w:pPr>
      <w:bookmarkStart w:id="2" w:name="_Hlk145580847"/>
      <w:r w:rsidRPr="00115B10">
        <w:rPr>
          <w:b/>
          <w:lang w:val="en-GB" w:bidi="en-US"/>
        </w:rPr>
        <w:t>Section J</w:t>
      </w:r>
      <w:r w:rsidRPr="00115B10">
        <w:rPr>
          <w:b/>
          <w:lang w:val="en-GB" w:bidi="en-US"/>
        </w:rPr>
        <w:tab/>
      </w:r>
      <w:r w:rsidR="008920A6">
        <w:rPr>
          <w:b/>
          <w:lang w:val="en-GB" w:bidi="en-US"/>
        </w:rPr>
        <w:t>Insurance</w:t>
      </w:r>
      <w:r w:rsidRPr="00115B10">
        <w:rPr>
          <w:b/>
          <w:lang w:val="en-GB" w:bidi="en-US"/>
        </w:rPr>
        <w:t xml:space="preserve"> </w:t>
      </w:r>
      <w:r w:rsidR="00FE4591">
        <w:rPr>
          <w:b/>
          <w:lang w:val="en-GB" w:bidi="en-US"/>
        </w:rPr>
        <w:t>of</w:t>
      </w:r>
      <w:r w:rsidRPr="00115B10">
        <w:rPr>
          <w:b/>
          <w:lang w:val="en-GB" w:bidi="en-US"/>
        </w:rPr>
        <w:t xml:space="preserve"> household items and personal belongings (personal effects)</w:t>
      </w:r>
    </w:p>
    <w:p w14:paraId="1563635C" w14:textId="77777777" w:rsidR="00C414F0" w:rsidRPr="00115B10" w:rsidRDefault="00C414F0" w:rsidP="00C414F0">
      <w:pPr>
        <w:pStyle w:val="FormatvorlageUEKls3schlussLinks0cm"/>
        <w:numPr>
          <w:ilvl w:val="0"/>
          <w:numId w:val="0"/>
        </w:numPr>
        <w:spacing w:after="0"/>
        <w:ind w:left="709" w:hanging="709"/>
        <w:rPr>
          <w:b/>
          <w:lang w:val="en-GB"/>
        </w:rPr>
      </w:pPr>
    </w:p>
    <w:p w14:paraId="5965267C" w14:textId="780E374B" w:rsidR="00C45BD4" w:rsidRPr="00115B10" w:rsidRDefault="00763145" w:rsidP="009860E1">
      <w:pPr>
        <w:pStyle w:val="FormatvorlageUEKls3schlussLinks0cm"/>
        <w:spacing w:after="0"/>
        <w:rPr>
          <w:b/>
          <w:lang w:val="en-GB"/>
        </w:rPr>
      </w:pPr>
      <w:r w:rsidRPr="00115B10">
        <w:rPr>
          <w:b/>
          <w:lang w:val="en-GB" w:bidi="en-US"/>
        </w:rPr>
        <w:t xml:space="preserve">Sum insured for </w:t>
      </w:r>
      <w:r w:rsidR="00115B10" w:rsidRPr="00115B10">
        <w:rPr>
          <w:b/>
          <w:lang w:val="en-GB" w:bidi="en-US"/>
        </w:rPr>
        <w:t>jewellery</w:t>
      </w:r>
      <w:r w:rsidRPr="00115B10">
        <w:rPr>
          <w:b/>
          <w:lang w:val="en-GB" w:bidi="en-US"/>
        </w:rPr>
        <w:t xml:space="preserve"> and objects made from precious metals (Clause J2.3 ADB 2024) </w:t>
      </w:r>
    </w:p>
    <w:p w14:paraId="4B294494" w14:textId="77777777" w:rsidR="00D00F58" w:rsidRPr="00115B10" w:rsidRDefault="00D00F58" w:rsidP="009860E1">
      <w:pPr>
        <w:pStyle w:val="FormatvorlageUEKls3schlussLinks0cm"/>
        <w:numPr>
          <w:ilvl w:val="0"/>
          <w:numId w:val="0"/>
        </w:numPr>
        <w:spacing w:after="0"/>
        <w:ind w:left="709"/>
        <w:rPr>
          <w:lang w:val="en-GB"/>
        </w:rPr>
      </w:pPr>
    </w:p>
    <w:p w14:paraId="5965267D" w14:textId="460ABBBD" w:rsidR="0018496E" w:rsidRPr="00115B10" w:rsidRDefault="0035189A" w:rsidP="009860E1">
      <w:pPr>
        <w:pStyle w:val="FormatvorlageUEKls3schlussLinks0cm"/>
        <w:numPr>
          <w:ilvl w:val="0"/>
          <w:numId w:val="0"/>
        </w:numPr>
        <w:spacing w:after="0"/>
        <w:ind w:left="709"/>
        <w:rPr>
          <w:lang w:val="en-GB"/>
        </w:rPr>
      </w:pPr>
      <w:r w:rsidRPr="00115B10">
        <w:rPr>
          <w:lang w:val="en-GB" w:bidi="en-US"/>
        </w:rPr>
        <w:t xml:space="preserve">The sum insured agreed pursuant to Clause J2.3 ADB 2024 for </w:t>
      </w:r>
      <w:r w:rsidR="00115B10" w:rsidRPr="00115B10">
        <w:rPr>
          <w:lang w:val="en-GB" w:bidi="en-US"/>
        </w:rPr>
        <w:t>jewellery</w:t>
      </w:r>
      <w:r w:rsidRPr="00115B10">
        <w:rPr>
          <w:lang w:val="en-GB" w:bidi="en-US"/>
        </w:rPr>
        <w:t xml:space="preserve"> and objects made from precious metals amounts to: ... </w:t>
      </w:r>
    </w:p>
    <w:bookmarkEnd w:id="2"/>
    <w:p w14:paraId="5965267E" w14:textId="77777777" w:rsidR="009860E1" w:rsidRPr="00115B10" w:rsidRDefault="009860E1" w:rsidP="009860E1">
      <w:pPr>
        <w:pStyle w:val="FormatvorlageUEKls3schlussLinks0cm"/>
        <w:numPr>
          <w:ilvl w:val="0"/>
          <w:numId w:val="0"/>
        </w:numPr>
        <w:spacing w:after="0"/>
        <w:ind w:left="709"/>
        <w:rPr>
          <w:lang w:val="en-GB"/>
        </w:rPr>
      </w:pPr>
    </w:p>
    <w:p w14:paraId="328B2A02" w14:textId="78272862" w:rsidR="00254455" w:rsidRPr="00115B10" w:rsidRDefault="00DA2AE0" w:rsidP="0069256C">
      <w:pPr>
        <w:pStyle w:val="FormatvorlageUEKls3schlussLinks0cm"/>
        <w:rPr>
          <w:b/>
          <w:bCs/>
          <w:lang w:val="en-GB"/>
        </w:rPr>
      </w:pPr>
      <w:r w:rsidRPr="00115B10">
        <w:rPr>
          <w:b/>
          <w:lang w:val="en-GB" w:bidi="en-US"/>
        </w:rPr>
        <w:t>Sum insured for household items and personal belongings (Clause J6.1 ADB 2024)</w:t>
      </w:r>
    </w:p>
    <w:p w14:paraId="30B4873E" w14:textId="45314F25" w:rsidR="00DA2AE0" w:rsidRPr="00115B10" w:rsidRDefault="00DA2AE0" w:rsidP="00254455">
      <w:pPr>
        <w:pStyle w:val="FormatvorlageUEKls3schlussLinks0cm"/>
        <w:numPr>
          <w:ilvl w:val="0"/>
          <w:numId w:val="0"/>
        </w:numPr>
        <w:ind w:left="709"/>
        <w:rPr>
          <w:b/>
          <w:bCs/>
          <w:lang w:val="en-GB"/>
        </w:rPr>
      </w:pPr>
      <w:r w:rsidRPr="00115B10">
        <w:rPr>
          <w:lang w:val="en-GB" w:bidi="en-US"/>
        </w:rPr>
        <w:t xml:space="preserve">The sum insured agreed pursuant to Clause J6.1 ADB 2024 for household items and personal belongings amounts to: ... </w:t>
      </w:r>
    </w:p>
    <w:p w14:paraId="09E59EC2" w14:textId="11452586" w:rsidR="00254455" w:rsidRPr="00115B10" w:rsidRDefault="0069256C" w:rsidP="008E144E">
      <w:pPr>
        <w:pStyle w:val="FormatvorlageUEKls3schlussLinks0cm"/>
        <w:rPr>
          <w:b/>
          <w:bCs/>
          <w:lang w:val="en-GB"/>
        </w:rPr>
      </w:pPr>
      <w:r w:rsidRPr="00115B10">
        <w:rPr>
          <w:b/>
          <w:lang w:val="en-GB" w:bidi="en-US"/>
        </w:rPr>
        <w:t>Indemnification on a first-loss basis (Clause J6.4 ADB 2024)</w:t>
      </w:r>
    </w:p>
    <w:p w14:paraId="0E09D011" w14:textId="0E8C5C5B" w:rsidR="00DA2AE0" w:rsidRPr="00115B10" w:rsidRDefault="0069256C" w:rsidP="00254455">
      <w:pPr>
        <w:pStyle w:val="FormatvorlageUEKls3schlussLinks0cm"/>
        <w:numPr>
          <w:ilvl w:val="0"/>
          <w:numId w:val="0"/>
        </w:numPr>
        <w:ind w:left="709"/>
        <w:rPr>
          <w:b/>
          <w:bCs/>
          <w:lang w:val="en-GB"/>
        </w:rPr>
      </w:pPr>
      <w:r w:rsidRPr="00115B10">
        <w:rPr>
          <w:lang w:val="en-GB" w:bidi="en-US"/>
        </w:rPr>
        <w:lastRenderedPageBreak/>
        <w:t xml:space="preserve">It is agreed pursuant to Clause J6.4 ADB 2024 that the loss of or damage to insured items under Clause J2 be indemnified on a first-loss basis. </w:t>
      </w:r>
    </w:p>
    <w:p w14:paraId="1CE1AD93" w14:textId="6B138421" w:rsidR="00254455" w:rsidRPr="00115B10" w:rsidRDefault="00127495" w:rsidP="00127495">
      <w:pPr>
        <w:pStyle w:val="FormatvorlageUEKls3schlussLinks0cm"/>
        <w:rPr>
          <w:szCs w:val="18"/>
          <w:lang w:val="en-GB"/>
        </w:rPr>
      </w:pPr>
      <w:r w:rsidRPr="00115B10">
        <w:rPr>
          <w:b/>
          <w:lang w:val="en-GB" w:bidi="en-US"/>
        </w:rPr>
        <w:t xml:space="preserve">Deductible (Clause J8.1 ADB 2024) </w:t>
      </w:r>
    </w:p>
    <w:p w14:paraId="1B752C36" w14:textId="76657A6C" w:rsidR="00127495" w:rsidRPr="00115B10" w:rsidRDefault="00127495" w:rsidP="00254455">
      <w:pPr>
        <w:pStyle w:val="FormatvorlageUEKls3schlussLinks0cm"/>
        <w:numPr>
          <w:ilvl w:val="0"/>
          <w:numId w:val="0"/>
        </w:numPr>
        <w:ind w:left="709"/>
        <w:rPr>
          <w:szCs w:val="18"/>
          <w:lang w:val="en-GB"/>
        </w:rPr>
      </w:pPr>
      <w:r w:rsidRPr="00115B10">
        <w:rPr>
          <w:lang w:val="en-GB" w:bidi="en-US"/>
        </w:rPr>
        <w:t xml:space="preserve">The deductible agreed as per Clause J8.1 ADB 2024 for loss of or damage to household items and personal belongings amounts to: ... </w:t>
      </w:r>
    </w:p>
    <w:p w14:paraId="111918D1" w14:textId="3872D776" w:rsidR="003638BA" w:rsidRPr="00115B10" w:rsidRDefault="003638BA" w:rsidP="003638BA">
      <w:pPr>
        <w:pStyle w:val="FormatvorlageUEKls3schlussLinks0cm"/>
        <w:numPr>
          <w:ilvl w:val="0"/>
          <w:numId w:val="0"/>
        </w:numPr>
        <w:spacing w:after="0"/>
        <w:ind w:left="709" w:hanging="709"/>
        <w:rPr>
          <w:b/>
          <w:lang w:val="en-GB"/>
        </w:rPr>
      </w:pPr>
      <w:r w:rsidRPr="00115B10">
        <w:rPr>
          <w:b/>
          <w:lang w:val="en-GB" w:bidi="en-US"/>
        </w:rPr>
        <w:t>Section L</w:t>
      </w:r>
      <w:r w:rsidRPr="00115B10">
        <w:rPr>
          <w:b/>
          <w:lang w:val="en-GB" w:bidi="en-US"/>
        </w:rPr>
        <w:tab/>
        <w:t>Loss of hire insurance</w:t>
      </w:r>
    </w:p>
    <w:p w14:paraId="77A8B852" w14:textId="77777777" w:rsidR="00B72C0B" w:rsidRPr="00115B10" w:rsidRDefault="00B72C0B" w:rsidP="003638BA">
      <w:pPr>
        <w:pStyle w:val="FormatvorlageUEKls3schlussLinks0cm"/>
        <w:numPr>
          <w:ilvl w:val="0"/>
          <w:numId w:val="0"/>
        </w:numPr>
        <w:spacing w:after="0"/>
        <w:ind w:left="709" w:hanging="709"/>
        <w:rPr>
          <w:b/>
          <w:lang w:val="en-GB"/>
        </w:rPr>
      </w:pPr>
    </w:p>
    <w:p w14:paraId="3864D8E2" w14:textId="26CFFC3D" w:rsidR="00127495" w:rsidRPr="00115B10" w:rsidRDefault="00A951D6" w:rsidP="009860E1">
      <w:pPr>
        <w:pStyle w:val="FormatvorlageUEKls3schlussLinks0cm"/>
        <w:spacing w:after="0"/>
        <w:rPr>
          <w:b/>
          <w:lang w:val="en-GB"/>
        </w:rPr>
      </w:pPr>
      <w:r w:rsidRPr="00115B10">
        <w:rPr>
          <w:b/>
          <w:lang w:val="en-GB" w:bidi="en-US"/>
        </w:rPr>
        <w:t>Sum insured (Clause L4.1 ADB 2024)</w:t>
      </w:r>
    </w:p>
    <w:p w14:paraId="5EF0D446" w14:textId="77777777" w:rsidR="00D00F58" w:rsidRPr="00115B10" w:rsidRDefault="00D00F58" w:rsidP="00A951D6">
      <w:pPr>
        <w:pStyle w:val="FormatvorlageUEKls3schlussLinks0cm"/>
        <w:numPr>
          <w:ilvl w:val="0"/>
          <w:numId w:val="0"/>
        </w:numPr>
        <w:spacing w:after="0"/>
        <w:ind w:left="709"/>
        <w:rPr>
          <w:lang w:val="en-GB"/>
        </w:rPr>
      </w:pPr>
    </w:p>
    <w:p w14:paraId="255F72C4" w14:textId="211CA2CF" w:rsidR="00A951D6" w:rsidRPr="00115B10" w:rsidRDefault="00A81A8A" w:rsidP="00A951D6">
      <w:pPr>
        <w:pStyle w:val="FormatvorlageUEKls3schlussLinks0cm"/>
        <w:numPr>
          <w:ilvl w:val="0"/>
          <w:numId w:val="0"/>
        </w:numPr>
        <w:spacing w:after="0"/>
        <w:ind w:left="709"/>
        <w:rPr>
          <w:szCs w:val="18"/>
          <w:lang w:val="en-GB"/>
        </w:rPr>
      </w:pPr>
      <w:r w:rsidRPr="00115B10">
        <w:rPr>
          <w:lang w:val="en-GB" w:bidi="en-US"/>
        </w:rPr>
        <w:t xml:space="preserve">The sum insured agreed pursuant to Clause L4.1 ADB 2024 for loss of hire amounts to: ... </w:t>
      </w:r>
    </w:p>
    <w:p w14:paraId="0FE115F2" w14:textId="77777777" w:rsidR="00127495" w:rsidRPr="00115B10" w:rsidRDefault="00127495" w:rsidP="00127495">
      <w:pPr>
        <w:pStyle w:val="Listenabsatz"/>
        <w:rPr>
          <w:b/>
          <w:sz w:val="18"/>
          <w:szCs w:val="18"/>
          <w:lang w:val="en-GB"/>
        </w:rPr>
      </w:pPr>
    </w:p>
    <w:p w14:paraId="6BE87B09" w14:textId="76F8869D" w:rsidR="00254455" w:rsidRPr="00115B10" w:rsidRDefault="00AE3DB5" w:rsidP="00AE3DB5">
      <w:pPr>
        <w:pStyle w:val="FormatvorlageUEKls3schlussLinks0cm"/>
        <w:rPr>
          <w:b/>
          <w:bCs/>
          <w:lang w:val="en-GB"/>
        </w:rPr>
      </w:pPr>
      <w:r w:rsidRPr="00115B10">
        <w:rPr>
          <w:b/>
          <w:szCs w:val="18"/>
          <w:lang w:val="en-GB" w:bidi="en-US"/>
        </w:rPr>
        <w:t>No fixed and undisputable agreed value (Clause L4.2 ADB 2024)</w:t>
      </w:r>
    </w:p>
    <w:p w14:paraId="3EFAC725" w14:textId="0A0E3491" w:rsidR="00127495" w:rsidRPr="00115B10" w:rsidRDefault="006811DF" w:rsidP="00254455">
      <w:pPr>
        <w:pStyle w:val="FormatvorlageUEKls3schlussLinks0cm"/>
        <w:numPr>
          <w:ilvl w:val="0"/>
          <w:numId w:val="0"/>
        </w:numPr>
        <w:ind w:left="709"/>
        <w:rPr>
          <w:b/>
          <w:bCs/>
          <w:lang w:val="en-GB"/>
        </w:rPr>
      </w:pPr>
      <w:r w:rsidRPr="00115B10">
        <w:rPr>
          <w:lang w:val="en-GB" w:bidi="en-US"/>
        </w:rPr>
        <w:t xml:space="preserve">Pursuant to Clause L4.2 ADB 2024, it is agreed that the insured sum is not deemed to be a fixed and undisputable agreed value. </w:t>
      </w:r>
    </w:p>
    <w:p w14:paraId="1B7591AE" w14:textId="239961EF" w:rsidR="007D3028" w:rsidRPr="00115B10" w:rsidRDefault="00B87E95" w:rsidP="009860E1">
      <w:pPr>
        <w:pStyle w:val="FormatvorlageUEKls3schlussLinks0cm"/>
        <w:spacing w:after="0"/>
        <w:rPr>
          <w:b/>
          <w:lang w:val="en-GB"/>
        </w:rPr>
      </w:pPr>
      <w:r w:rsidRPr="00115B10">
        <w:rPr>
          <w:b/>
          <w:lang w:val="en-GB" w:bidi="en-US"/>
        </w:rPr>
        <w:t>Limitation of the indemnity in days (Clause L5.3 ADB 2024)</w:t>
      </w:r>
    </w:p>
    <w:p w14:paraId="28B2B7B6" w14:textId="77777777" w:rsidR="00E035D8" w:rsidRPr="00115B10" w:rsidRDefault="00E035D8" w:rsidP="00E035D8">
      <w:pPr>
        <w:pStyle w:val="FormatvorlageUEKls3schlussLinks0cm"/>
        <w:numPr>
          <w:ilvl w:val="0"/>
          <w:numId w:val="0"/>
        </w:numPr>
        <w:spacing w:after="0"/>
        <w:ind w:left="709"/>
        <w:rPr>
          <w:b/>
          <w:lang w:val="en-GB"/>
        </w:rPr>
      </w:pPr>
    </w:p>
    <w:p w14:paraId="5E75044D" w14:textId="3213D4BC" w:rsidR="00416B73" w:rsidRPr="00115B10" w:rsidRDefault="00416B73" w:rsidP="00E035D8">
      <w:pPr>
        <w:pStyle w:val="FormatvorlageUEKls3schlussLinks0cm"/>
        <w:numPr>
          <w:ilvl w:val="0"/>
          <w:numId w:val="0"/>
        </w:numPr>
        <w:spacing w:after="0"/>
        <w:ind w:left="709"/>
        <w:rPr>
          <w:lang w:val="en-GB"/>
        </w:rPr>
      </w:pPr>
      <w:r w:rsidRPr="00115B10">
        <w:rPr>
          <w:lang w:val="en-GB" w:bidi="en-US"/>
        </w:rPr>
        <w:t>Pursuant to Clause L5.3 ADB 2024, the number of days per loss or damage event amounts to … days and for the aggregate of all loss events within 12 months after commencement of the insurance contract to … days.</w:t>
      </w:r>
    </w:p>
    <w:p w14:paraId="657D8867" w14:textId="77777777" w:rsidR="001A6A2B" w:rsidRPr="00115B10" w:rsidRDefault="001A6A2B" w:rsidP="00E035D8">
      <w:pPr>
        <w:pStyle w:val="FormatvorlageUEKls3schlussLinks0cm"/>
        <w:numPr>
          <w:ilvl w:val="0"/>
          <w:numId w:val="0"/>
        </w:numPr>
        <w:spacing w:after="0"/>
        <w:ind w:left="709"/>
        <w:rPr>
          <w:b/>
          <w:lang w:val="en-GB"/>
        </w:rPr>
      </w:pPr>
    </w:p>
    <w:p w14:paraId="23D9CA41" w14:textId="43B5406E" w:rsidR="00C5163A" w:rsidRPr="00115B10" w:rsidRDefault="00C5163A" w:rsidP="009860E1">
      <w:pPr>
        <w:pStyle w:val="FormatvorlageUEKls3schlussLinks0cm"/>
        <w:spacing w:after="0"/>
        <w:rPr>
          <w:b/>
          <w:lang w:val="en-GB"/>
        </w:rPr>
      </w:pPr>
      <w:r w:rsidRPr="00115B10">
        <w:rPr>
          <w:b/>
          <w:lang w:val="en-GB" w:bidi="en-US"/>
        </w:rPr>
        <w:t>Automatic reinstatement (Clause L5.4 ADB 2024)</w:t>
      </w:r>
    </w:p>
    <w:p w14:paraId="2BF61E8D" w14:textId="77777777" w:rsidR="00D00F58" w:rsidRPr="00115B10" w:rsidRDefault="00D00F58" w:rsidP="00C5163A">
      <w:pPr>
        <w:pStyle w:val="FormatvorlageUEKls3schlussLinks0cm"/>
        <w:numPr>
          <w:ilvl w:val="0"/>
          <w:numId w:val="0"/>
        </w:numPr>
        <w:spacing w:after="0"/>
        <w:ind w:left="709"/>
        <w:rPr>
          <w:bCs/>
          <w:lang w:val="en-GB"/>
        </w:rPr>
      </w:pPr>
    </w:p>
    <w:p w14:paraId="46AEB51E" w14:textId="24D1198E" w:rsidR="00C5163A" w:rsidRPr="00115B10" w:rsidRDefault="00C5163A" w:rsidP="00C5163A">
      <w:pPr>
        <w:pStyle w:val="FormatvorlageUEKls3schlussLinks0cm"/>
        <w:numPr>
          <w:ilvl w:val="0"/>
          <w:numId w:val="0"/>
        </w:numPr>
        <w:spacing w:after="0"/>
        <w:ind w:left="709"/>
        <w:rPr>
          <w:bCs/>
          <w:lang w:val="en-GB"/>
        </w:rPr>
      </w:pPr>
      <w:r w:rsidRPr="00115B10">
        <w:rPr>
          <w:lang w:val="en-GB" w:bidi="en-US"/>
        </w:rPr>
        <w:t xml:space="preserve">The automatic reinstatement of the maximum limit of indemnity per annum pursuant to Clause L5.4 ADB 2024 is deemed to have been agreed/to not have been agreed. </w:t>
      </w:r>
    </w:p>
    <w:p w14:paraId="4E8527B6" w14:textId="77777777" w:rsidR="00C5163A" w:rsidRPr="00115B10" w:rsidRDefault="00C5163A" w:rsidP="00C5163A">
      <w:pPr>
        <w:pStyle w:val="FormatvorlageUEKls3schlussLinks0cm"/>
        <w:numPr>
          <w:ilvl w:val="0"/>
          <w:numId w:val="0"/>
        </w:numPr>
        <w:spacing w:after="0"/>
        <w:ind w:left="709"/>
        <w:rPr>
          <w:bCs/>
          <w:lang w:val="en-GB"/>
        </w:rPr>
      </w:pPr>
    </w:p>
    <w:p w14:paraId="5965267F" w14:textId="30CF50E0" w:rsidR="00C45BD4" w:rsidRPr="00115B10" w:rsidRDefault="00B67A1B" w:rsidP="009860E1">
      <w:pPr>
        <w:pStyle w:val="FormatvorlageUEKls3schlussLinks0cm"/>
        <w:spacing w:after="0"/>
        <w:rPr>
          <w:b/>
          <w:lang w:val="en-GB"/>
        </w:rPr>
      </w:pPr>
      <w:r w:rsidRPr="00115B10">
        <w:rPr>
          <w:b/>
          <w:lang w:val="en-GB" w:bidi="en-US"/>
        </w:rPr>
        <w:t xml:space="preserve">Deductible (Clause L6 ADB 2024) </w:t>
      </w:r>
    </w:p>
    <w:p w14:paraId="40B89627" w14:textId="77777777" w:rsidR="005A0760" w:rsidRPr="00115B10" w:rsidRDefault="005A0760" w:rsidP="009860E1">
      <w:pPr>
        <w:pStyle w:val="FormatvorlageUEKls3schlussLinks0cm"/>
        <w:numPr>
          <w:ilvl w:val="0"/>
          <w:numId w:val="0"/>
        </w:numPr>
        <w:spacing w:after="0"/>
        <w:ind w:left="709"/>
        <w:rPr>
          <w:lang w:val="en-GB"/>
        </w:rPr>
      </w:pPr>
    </w:p>
    <w:p w14:paraId="59652680" w14:textId="01AC8D44" w:rsidR="0018496E" w:rsidRPr="00115B10" w:rsidRDefault="00B67A1B" w:rsidP="009860E1">
      <w:pPr>
        <w:pStyle w:val="FormatvorlageUEKls3schlussLinks0cm"/>
        <w:numPr>
          <w:ilvl w:val="0"/>
          <w:numId w:val="0"/>
        </w:numPr>
        <w:spacing w:after="0"/>
        <w:ind w:left="709"/>
        <w:rPr>
          <w:lang w:val="en-GB"/>
        </w:rPr>
      </w:pPr>
      <w:r w:rsidRPr="00115B10">
        <w:rPr>
          <w:lang w:val="en-GB" w:bidi="en-US"/>
        </w:rPr>
        <w:t xml:space="preserve">The deductible in terms of days for loss of hire pursuant to Clause L6 ADB 2024 amounts to … </w:t>
      </w:r>
    </w:p>
    <w:p w14:paraId="0E127FA8" w14:textId="77777777" w:rsidR="007806DD" w:rsidRPr="00115B10" w:rsidRDefault="007806DD" w:rsidP="007806DD">
      <w:pPr>
        <w:pStyle w:val="FormatvorlageUEKls3schlussLinks0cm"/>
        <w:numPr>
          <w:ilvl w:val="0"/>
          <w:numId w:val="0"/>
        </w:numPr>
        <w:spacing w:after="0"/>
        <w:rPr>
          <w:lang w:val="en-GB"/>
        </w:rPr>
      </w:pPr>
    </w:p>
    <w:p w14:paraId="3A872BE1" w14:textId="7FD7372C" w:rsidR="00E30AFA" w:rsidRPr="00115B10" w:rsidRDefault="00E30AFA" w:rsidP="00115B10">
      <w:pPr>
        <w:pStyle w:val="FormatvorlageUEKls3schlussLinks0cm"/>
        <w:numPr>
          <w:ilvl w:val="0"/>
          <w:numId w:val="0"/>
        </w:numPr>
        <w:ind w:left="1416" w:hanging="1416"/>
        <w:rPr>
          <w:b/>
          <w:bCs/>
          <w:lang w:val="en-GB"/>
        </w:rPr>
      </w:pPr>
      <w:r w:rsidRPr="00115B10">
        <w:rPr>
          <w:b/>
          <w:lang w:val="en-GB" w:bidi="en-US"/>
        </w:rPr>
        <w:t>Section M</w:t>
      </w:r>
      <w:r w:rsidRPr="00115B10">
        <w:rPr>
          <w:b/>
          <w:lang w:val="en-GB" w:bidi="en-US"/>
        </w:rPr>
        <w:tab/>
      </w:r>
      <w:r w:rsidR="00FE4591">
        <w:rPr>
          <w:b/>
          <w:lang w:val="en-GB" w:bidi="en-US"/>
        </w:rPr>
        <w:t>Insurance</w:t>
      </w:r>
      <w:r w:rsidRPr="00115B10">
        <w:rPr>
          <w:b/>
          <w:lang w:val="en-GB" w:bidi="en-US"/>
        </w:rPr>
        <w:t xml:space="preserve"> </w:t>
      </w:r>
      <w:r w:rsidR="00FE4591">
        <w:rPr>
          <w:b/>
          <w:lang w:val="en-GB" w:bidi="en-US"/>
        </w:rPr>
        <w:t xml:space="preserve">of </w:t>
      </w:r>
      <w:r w:rsidRPr="00115B10">
        <w:rPr>
          <w:b/>
          <w:lang w:val="en-GB" w:bidi="en-US"/>
        </w:rPr>
        <w:t>floating dredge systems</w:t>
      </w:r>
    </w:p>
    <w:p w14:paraId="7303937B" w14:textId="1C5E6497" w:rsidR="00C26085" w:rsidRPr="00115B10" w:rsidRDefault="00C26085" w:rsidP="00C26085">
      <w:pPr>
        <w:pStyle w:val="FormatvorlageUEKls3schlussLinks0cm"/>
        <w:rPr>
          <w:b/>
          <w:bCs/>
          <w:lang w:val="en-GB"/>
        </w:rPr>
      </w:pPr>
      <w:r w:rsidRPr="00115B10">
        <w:rPr>
          <w:b/>
          <w:lang w:val="en-GB" w:bidi="en-US"/>
        </w:rPr>
        <w:t>Subject-matter insured Dredges (Clause M3.2 ADB 2024)</w:t>
      </w:r>
    </w:p>
    <w:p w14:paraId="2A43BD6A" w14:textId="314A9ED5" w:rsidR="00C26085" w:rsidRPr="00115B10" w:rsidRDefault="00C26085" w:rsidP="00C26085">
      <w:pPr>
        <w:pStyle w:val="FormatvorlageUEKls3schlussLinks0cm"/>
        <w:numPr>
          <w:ilvl w:val="0"/>
          <w:numId w:val="0"/>
        </w:numPr>
        <w:ind w:left="709"/>
        <w:rPr>
          <w:lang w:val="en-GB"/>
        </w:rPr>
      </w:pPr>
      <w:r w:rsidRPr="00115B10">
        <w:rPr>
          <w:lang w:val="en-GB" w:bidi="en-US"/>
        </w:rPr>
        <w:t>It is agreed pursuant to Clause M3.2 ADB 2024 that dredge equipment, conveying equipment, conveyor belts, etc. that are not permanently installed on the vessel are insured.</w:t>
      </w:r>
    </w:p>
    <w:p w14:paraId="3013B0A5" w14:textId="6C45A5B5" w:rsidR="00C26085" w:rsidRPr="00115B10" w:rsidRDefault="00C26085" w:rsidP="00C26085">
      <w:pPr>
        <w:pStyle w:val="FormatvorlageUEKls3schlussLinks0cm"/>
        <w:rPr>
          <w:b/>
          <w:bCs/>
          <w:lang w:val="en-GB"/>
        </w:rPr>
      </w:pPr>
      <w:r w:rsidRPr="00115B10">
        <w:rPr>
          <w:b/>
          <w:lang w:val="en-GB" w:bidi="en-US"/>
        </w:rPr>
        <w:t>Subject-matter insured (Clause M3.3 ADB 2024)</w:t>
      </w:r>
    </w:p>
    <w:p w14:paraId="571C200C" w14:textId="32AFA865" w:rsidR="00C26085" w:rsidRPr="00115B10" w:rsidRDefault="00C26085" w:rsidP="00C26085">
      <w:pPr>
        <w:pStyle w:val="FormatvorlageUEKls3schlussLinks0cm"/>
        <w:numPr>
          <w:ilvl w:val="0"/>
          <w:numId w:val="0"/>
        </w:numPr>
        <w:ind w:left="709"/>
        <w:rPr>
          <w:lang w:val="en-GB"/>
        </w:rPr>
      </w:pPr>
      <w:r w:rsidRPr="00115B10">
        <w:rPr>
          <w:lang w:val="en-GB" w:bidi="en-US"/>
        </w:rPr>
        <w:t>Pursuant to Clause M3.3 ADB 2024, the following is included in the cover: ...</w:t>
      </w:r>
    </w:p>
    <w:p w14:paraId="415D4491" w14:textId="7296FE83" w:rsidR="00C26085" w:rsidRPr="00115B10" w:rsidRDefault="00C26085" w:rsidP="00C26085">
      <w:pPr>
        <w:pStyle w:val="FormatvorlageUEKls3schlussLinks0cm"/>
        <w:rPr>
          <w:b/>
          <w:bCs/>
          <w:lang w:val="en-GB"/>
        </w:rPr>
      </w:pPr>
      <w:r w:rsidRPr="00115B10">
        <w:rPr>
          <w:b/>
          <w:lang w:val="en-GB" w:bidi="en-US"/>
        </w:rPr>
        <w:t xml:space="preserve">Cover for tools (Clause M3.5 ADB 2024) </w:t>
      </w:r>
    </w:p>
    <w:p w14:paraId="564F157D" w14:textId="1F51A092" w:rsidR="00C26085" w:rsidRPr="00115B10" w:rsidRDefault="00C26085" w:rsidP="00C26085">
      <w:pPr>
        <w:pStyle w:val="FormatvorlageUEKls3schlussLinks0cm"/>
        <w:numPr>
          <w:ilvl w:val="0"/>
          <w:numId w:val="0"/>
        </w:numPr>
        <w:ind w:left="709"/>
        <w:rPr>
          <w:lang w:val="en-GB"/>
        </w:rPr>
      </w:pPr>
      <w:r w:rsidRPr="00115B10">
        <w:rPr>
          <w:lang w:val="en-GB" w:bidi="en-US"/>
        </w:rPr>
        <w:t>Pursuant to Clause M3.5 ADB 2024, tools are included in the cover.</w:t>
      </w:r>
    </w:p>
    <w:p w14:paraId="057F9609" w14:textId="46F2FB14" w:rsidR="00C26085" w:rsidRPr="00115B10" w:rsidRDefault="00C26085" w:rsidP="00C26085">
      <w:pPr>
        <w:pStyle w:val="FormatvorlageUEKls3schlussLinks0cm"/>
        <w:rPr>
          <w:lang w:val="en-GB"/>
        </w:rPr>
      </w:pPr>
      <w:r w:rsidRPr="00115B10">
        <w:rPr>
          <w:b/>
          <w:lang w:val="en-GB" w:bidi="en-US"/>
        </w:rPr>
        <w:t>Territorial scope (Clause M4.1.1 ADB 2024)</w:t>
      </w:r>
    </w:p>
    <w:p w14:paraId="7F3ABE59" w14:textId="4EDFD43B" w:rsidR="00EA6C61" w:rsidRPr="00115B10" w:rsidRDefault="00C26085" w:rsidP="006033AB">
      <w:pPr>
        <w:pStyle w:val="FormatvorlageUEKls3schlussLinks0cm"/>
        <w:numPr>
          <w:ilvl w:val="0"/>
          <w:numId w:val="0"/>
        </w:numPr>
        <w:ind w:left="709"/>
        <w:rPr>
          <w:lang w:val="en-GB"/>
        </w:rPr>
      </w:pPr>
      <w:r w:rsidRPr="00115B10">
        <w:rPr>
          <w:lang w:val="en-GB" w:bidi="en-US"/>
        </w:rPr>
        <w:t>Pursuant to Clause M4.1.1 ADB 2024, the following territorial scope is agreed: ...</w:t>
      </w:r>
    </w:p>
    <w:sectPr w:rsidR="00EA6C61" w:rsidRPr="00115B10" w:rsidSect="0018496E">
      <w:type w:val="continuous"/>
      <w:pgSz w:w="11906" w:h="16838"/>
      <w:pgMar w:top="1417" w:right="1417" w:bottom="1134" w:left="1417" w:header="708" w:footer="708" w:gutter="0"/>
      <w:cols w:num="2" w:space="708" w:equalWidth="0">
        <w:col w:w="4182" w:space="708"/>
        <w:col w:w="418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BE58" w14:textId="77777777" w:rsidR="004D386E" w:rsidRDefault="004D386E">
      <w:r>
        <w:separator/>
      </w:r>
    </w:p>
  </w:endnote>
  <w:endnote w:type="continuationSeparator" w:id="0">
    <w:p w14:paraId="4F833C4F" w14:textId="77777777" w:rsidR="004D386E" w:rsidRDefault="004D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12526159"/>
      <w:docPartObj>
        <w:docPartGallery w:val="Page Numbers (Bottom of Page)"/>
        <w:docPartUnique/>
      </w:docPartObj>
    </w:sdtPr>
    <w:sdtContent>
      <w:p w14:paraId="596526C3" w14:textId="5A214E66" w:rsidR="000336B4" w:rsidRPr="00FE3363" w:rsidRDefault="00B258B4" w:rsidP="00FE3363">
        <w:pPr>
          <w:pStyle w:val="Fuzeile"/>
          <w:tabs>
            <w:tab w:val="clear" w:pos="9072"/>
            <w:tab w:val="right" w:pos="9057"/>
          </w:tabs>
          <w:jc w:val="right"/>
          <w:rPr>
            <w:rFonts w:ascii="Arial" w:hAnsi="Arial" w:cs="Arial"/>
            <w:sz w:val="18"/>
            <w:szCs w:val="18"/>
          </w:rPr>
        </w:pPr>
        <w:r>
          <w:rPr>
            <w:rFonts w:ascii="Arial" w:eastAsia="Arial" w:hAnsi="Arial" w:cs="Arial"/>
            <w:sz w:val="18"/>
            <w:szCs w:val="18"/>
            <w:lang w:bidi="en-US"/>
          </w:rPr>
          <w:t xml:space="preserve">Annex ADB 2024 (last amended: March 2024) </w:t>
        </w:r>
        <w:r>
          <w:rPr>
            <w:rFonts w:ascii="Arial" w:eastAsia="Arial" w:hAnsi="Arial" w:cs="Arial"/>
            <w:sz w:val="18"/>
            <w:szCs w:val="18"/>
            <w:lang w:bidi="en-US"/>
          </w:rPr>
          <w:tab/>
        </w:r>
        <w:r>
          <w:rPr>
            <w:rFonts w:ascii="Arial" w:eastAsia="Arial" w:hAnsi="Arial" w:cs="Arial"/>
            <w:sz w:val="18"/>
            <w:szCs w:val="18"/>
            <w:lang w:bidi="en-US"/>
          </w:rPr>
          <w:tab/>
        </w:r>
        <w:sdt>
          <w:sdtPr>
            <w:rPr>
              <w:rFonts w:ascii="Arial" w:hAnsi="Arial" w:cs="Arial"/>
              <w:sz w:val="18"/>
              <w:szCs w:val="18"/>
            </w:rPr>
            <w:id w:val="-1769616900"/>
            <w:docPartObj>
              <w:docPartGallery w:val="Page Numbers (Top of Page)"/>
              <w:docPartUnique/>
            </w:docPartObj>
          </w:sdtPr>
          <w:sdtContent>
            <w:r w:rsidR="00EC3DE6" w:rsidRPr="00FE3363">
              <w:rPr>
                <w:rFonts w:ascii="Arial" w:eastAsia="Arial" w:hAnsi="Arial" w:cs="Arial"/>
                <w:sz w:val="18"/>
                <w:szCs w:val="18"/>
                <w:lang w:bidi="en-US"/>
              </w:rPr>
              <w:t xml:space="preserve">Page </w:t>
            </w:r>
            <w:r w:rsidR="00EC3DE6" w:rsidRPr="00FE3363">
              <w:rPr>
                <w:rFonts w:ascii="Arial" w:eastAsia="Arial" w:hAnsi="Arial" w:cs="Arial"/>
                <w:b/>
                <w:sz w:val="18"/>
                <w:szCs w:val="18"/>
                <w:lang w:bidi="en-US"/>
              </w:rPr>
              <w:fldChar w:fldCharType="begin"/>
            </w:r>
            <w:r w:rsidR="00EC3DE6" w:rsidRPr="00FE3363">
              <w:rPr>
                <w:rFonts w:ascii="Arial" w:eastAsia="Arial" w:hAnsi="Arial" w:cs="Arial"/>
                <w:b/>
                <w:sz w:val="18"/>
                <w:szCs w:val="18"/>
                <w:lang w:bidi="en-US"/>
              </w:rPr>
              <w:instrText>PAGE</w:instrText>
            </w:r>
            <w:r w:rsidR="00EC3DE6" w:rsidRPr="00FE3363">
              <w:rPr>
                <w:rFonts w:ascii="Arial" w:eastAsia="Arial" w:hAnsi="Arial" w:cs="Arial"/>
                <w:b/>
                <w:sz w:val="18"/>
                <w:szCs w:val="18"/>
                <w:lang w:bidi="en-US"/>
              </w:rPr>
              <w:fldChar w:fldCharType="separate"/>
            </w:r>
            <w:r w:rsidR="00EC3DE6" w:rsidRPr="00FE3363">
              <w:rPr>
                <w:rFonts w:ascii="Arial" w:eastAsia="Arial" w:hAnsi="Arial" w:cs="Arial"/>
                <w:b/>
                <w:sz w:val="18"/>
                <w:szCs w:val="18"/>
                <w:lang w:bidi="en-US"/>
              </w:rPr>
              <w:t>2</w:t>
            </w:r>
            <w:r w:rsidR="00EC3DE6" w:rsidRPr="00FE3363">
              <w:rPr>
                <w:rFonts w:ascii="Arial" w:eastAsia="Arial" w:hAnsi="Arial" w:cs="Arial"/>
                <w:b/>
                <w:sz w:val="18"/>
                <w:szCs w:val="18"/>
                <w:lang w:bidi="en-US"/>
              </w:rPr>
              <w:fldChar w:fldCharType="end"/>
            </w:r>
            <w:r w:rsidR="00EC3DE6" w:rsidRPr="00FE3363">
              <w:rPr>
                <w:rFonts w:ascii="Arial" w:eastAsia="Arial" w:hAnsi="Arial" w:cs="Arial"/>
                <w:sz w:val="18"/>
                <w:szCs w:val="18"/>
                <w:lang w:bidi="en-US"/>
              </w:rPr>
              <w:t xml:space="preserve"> of </w:t>
            </w:r>
            <w:r w:rsidR="00EC3DE6" w:rsidRPr="00FE3363">
              <w:rPr>
                <w:rFonts w:ascii="Arial" w:eastAsia="Arial" w:hAnsi="Arial" w:cs="Arial"/>
                <w:b/>
                <w:sz w:val="18"/>
                <w:szCs w:val="18"/>
                <w:lang w:bidi="en-US"/>
              </w:rPr>
              <w:fldChar w:fldCharType="begin"/>
            </w:r>
            <w:r w:rsidR="00EC3DE6" w:rsidRPr="00FE3363">
              <w:rPr>
                <w:rFonts w:ascii="Arial" w:eastAsia="Arial" w:hAnsi="Arial" w:cs="Arial"/>
                <w:b/>
                <w:sz w:val="18"/>
                <w:szCs w:val="18"/>
                <w:lang w:bidi="en-US"/>
              </w:rPr>
              <w:instrText>NUMPAGES</w:instrText>
            </w:r>
            <w:r w:rsidR="00EC3DE6" w:rsidRPr="00FE3363">
              <w:rPr>
                <w:rFonts w:ascii="Arial" w:eastAsia="Arial" w:hAnsi="Arial" w:cs="Arial"/>
                <w:b/>
                <w:sz w:val="18"/>
                <w:szCs w:val="18"/>
                <w:lang w:bidi="en-US"/>
              </w:rPr>
              <w:fldChar w:fldCharType="separate"/>
            </w:r>
            <w:r w:rsidR="00EC3DE6" w:rsidRPr="00FE3363">
              <w:rPr>
                <w:rFonts w:ascii="Arial" w:eastAsia="Arial" w:hAnsi="Arial" w:cs="Arial"/>
                <w:b/>
                <w:sz w:val="18"/>
                <w:szCs w:val="18"/>
                <w:lang w:bidi="en-US"/>
              </w:rPr>
              <w:t>2</w:t>
            </w:r>
            <w:r w:rsidR="00EC3DE6" w:rsidRPr="00FE3363">
              <w:rPr>
                <w:rFonts w:ascii="Arial" w:eastAsia="Arial" w:hAnsi="Arial" w:cs="Arial"/>
                <w:b/>
                <w:sz w:val="18"/>
                <w:szCs w:val="18"/>
                <w:lang w:bidi="en-US"/>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26C5" w14:textId="77777777" w:rsidR="002433A0" w:rsidRPr="00262984" w:rsidRDefault="0027062C" w:rsidP="002433A0">
    <w:pPr>
      <w:pStyle w:val="Fuzeile"/>
      <w:tabs>
        <w:tab w:val="clear" w:pos="4536"/>
        <w:tab w:val="clear" w:pos="9072"/>
        <w:tab w:val="right" w:pos="8460"/>
        <w:tab w:val="right" w:pos="9043"/>
      </w:tabs>
      <w:rPr>
        <w:rFonts w:ascii="Arial" w:hAnsi="Arial" w:cs="Arial"/>
        <w:sz w:val="16"/>
      </w:rPr>
    </w:pPr>
    <w:r>
      <w:rPr>
        <w:rFonts w:ascii="Arial" w:eastAsia="Arial" w:hAnsi="Arial" w:cs="Arial"/>
        <w:noProof/>
        <w:sz w:val="16"/>
        <w:lang w:bidi="en-US"/>
      </w:rPr>
      <mc:AlternateContent>
        <mc:Choice Requires="wps">
          <w:drawing>
            <wp:anchor distT="0" distB="0" distL="114300" distR="114300" simplePos="0" relativeHeight="251657728" behindDoc="1" locked="1" layoutInCell="0" allowOverlap="1" wp14:anchorId="596526C8" wp14:editId="221BDBC8">
              <wp:simplePos x="0" y="0"/>
              <wp:positionH relativeFrom="column">
                <wp:posOffset>10795</wp:posOffset>
              </wp:positionH>
              <wp:positionV relativeFrom="paragraph">
                <wp:posOffset>-17780</wp:posOffset>
              </wp:positionV>
              <wp:extent cx="457200" cy="0"/>
              <wp:effectExtent l="10795" t="10795" r="825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115F"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18496E">
      <w:rPr>
        <w:rFonts w:ascii="Arial" w:eastAsia="Arial" w:hAnsi="Arial" w:cs="Arial"/>
        <w:sz w:val="16"/>
        <w:lang w:bidi="en-US"/>
      </w:rPr>
      <w:t>Annex to DTV-ADS 2009</w:t>
    </w:r>
    <w:r w:rsidR="0018496E">
      <w:rPr>
        <w:rFonts w:ascii="Arial" w:eastAsia="Arial" w:hAnsi="Arial" w:cs="Arial"/>
        <w:sz w:val="16"/>
        <w:lang w:bidi="en-US"/>
      </w:rPr>
      <w:tab/>
      <w:t>Page</w:t>
    </w:r>
    <w:r w:rsidR="0018496E">
      <w:rPr>
        <w:rFonts w:ascii="Arial" w:eastAsia="Arial" w:hAnsi="Arial" w:cs="Arial"/>
        <w:sz w:val="16"/>
        <w:lang w:bidi="en-US"/>
      </w:rPr>
      <w:tab/>
    </w:r>
    <w:r w:rsidR="002433A0" w:rsidRPr="00262984">
      <w:rPr>
        <w:rFonts w:ascii="Arial" w:eastAsia="Arial" w:hAnsi="Arial" w:cs="Arial"/>
        <w:sz w:val="16"/>
        <w:lang w:bidi="en-US"/>
      </w:rPr>
      <w:fldChar w:fldCharType="begin"/>
    </w:r>
    <w:r w:rsidR="002433A0" w:rsidRPr="00262984">
      <w:rPr>
        <w:rFonts w:ascii="Arial" w:eastAsia="Arial" w:hAnsi="Arial" w:cs="Arial"/>
        <w:sz w:val="16"/>
        <w:lang w:bidi="en-US"/>
      </w:rPr>
      <w:instrText xml:space="preserve"> PAGE  \* MERGEFORMAT </w:instrText>
    </w:r>
    <w:r w:rsidR="002433A0" w:rsidRPr="00262984">
      <w:rPr>
        <w:rFonts w:ascii="Arial" w:eastAsia="Arial" w:hAnsi="Arial" w:cs="Arial"/>
        <w:sz w:val="16"/>
        <w:lang w:bidi="en-US"/>
      </w:rPr>
      <w:fldChar w:fldCharType="separate"/>
    </w:r>
    <w:r w:rsidR="00976142">
      <w:rPr>
        <w:rFonts w:ascii="Arial" w:eastAsia="Arial" w:hAnsi="Arial" w:cs="Arial"/>
        <w:noProof/>
        <w:sz w:val="16"/>
        <w:lang w:bidi="en-US"/>
      </w:rPr>
      <w:t>1</w:t>
    </w:r>
    <w:r w:rsidR="002433A0" w:rsidRPr="00262984">
      <w:rPr>
        <w:rFonts w:ascii="Arial" w:eastAsia="Arial" w:hAnsi="Arial" w:cs="Arial"/>
        <w:sz w:val="16"/>
        <w:lang w:bidi="en-US"/>
      </w:rPr>
      <w:fldChar w:fldCharType="end"/>
    </w:r>
    <w:r w:rsidR="0018496E">
      <w:rPr>
        <w:rFonts w:ascii="Arial" w:eastAsia="Arial" w:hAnsi="Arial" w:cs="Arial"/>
        <w:sz w:val="16"/>
        <w:lang w:bidi="en-US"/>
      </w:rPr>
      <w:t xml:space="preserve"> / </w:t>
    </w:r>
    <w:r w:rsidR="002433A0" w:rsidRPr="00262984">
      <w:rPr>
        <w:rFonts w:ascii="Arial" w:eastAsia="Arial" w:hAnsi="Arial" w:cs="Arial"/>
        <w:sz w:val="16"/>
        <w:lang w:bidi="en-US"/>
      </w:rPr>
      <w:fldChar w:fldCharType="begin"/>
    </w:r>
    <w:r w:rsidR="002433A0" w:rsidRPr="00262984">
      <w:rPr>
        <w:rFonts w:ascii="Arial" w:eastAsia="Arial" w:hAnsi="Arial" w:cs="Arial"/>
        <w:sz w:val="16"/>
        <w:lang w:bidi="en-US"/>
      </w:rPr>
      <w:instrText xml:space="preserve"> NUMPAGES  \* MERGEFORMAT </w:instrText>
    </w:r>
    <w:r w:rsidR="002433A0" w:rsidRPr="00262984">
      <w:rPr>
        <w:rFonts w:ascii="Arial" w:eastAsia="Arial" w:hAnsi="Arial" w:cs="Arial"/>
        <w:sz w:val="16"/>
        <w:lang w:bidi="en-US"/>
      </w:rPr>
      <w:fldChar w:fldCharType="separate"/>
    </w:r>
    <w:r w:rsidR="00A0741E">
      <w:rPr>
        <w:rFonts w:ascii="Arial" w:eastAsia="Arial" w:hAnsi="Arial" w:cs="Arial"/>
        <w:noProof/>
        <w:sz w:val="16"/>
        <w:lang w:bidi="en-US"/>
      </w:rPr>
      <w:t>2</w:t>
    </w:r>
    <w:r w:rsidR="002433A0" w:rsidRPr="00262984">
      <w:rPr>
        <w:rFonts w:ascii="Arial" w:eastAsia="Arial" w:hAnsi="Arial" w:cs="Arial"/>
        <w:sz w:val="16"/>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321D" w14:textId="77777777" w:rsidR="004D386E" w:rsidRDefault="004D386E">
      <w:r>
        <w:separator/>
      </w:r>
    </w:p>
  </w:footnote>
  <w:footnote w:type="continuationSeparator" w:id="0">
    <w:p w14:paraId="40BD262E" w14:textId="77777777" w:rsidR="004D386E" w:rsidRDefault="004D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E462" w14:textId="43E8C97A" w:rsidR="0076362E" w:rsidRDefault="0063614A" w:rsidP="0076362E">
    <w:pPr>
      <w:pStyle w:val="Kopfzeile"/>
      <w:pBdr>
        <w:bottom w:val="single" w:sz="4" w:space="1" w:color="auto"/>
      </w:pBdr>
      <w:jc w:val="center"/>
      <w:rPr>
        <w:rFonts w:ascii="Arial" w:hAnsi="Arial"/>
        <w:bCs/>
        <w:noProof/>
        <w:sz w:val="20"/>
      </w:rPr>
    </w:pPr>
    <w:r>
      <w:rPr>
        <w:rFonts w:ascii="Arial" w:eastAsia="Arial" w:hAnsi="Arial" w:cs="Arial"/>
        <w:b/>
        <w:noProof/>
        <w:lang w:bidi="en-US"/>
      </w:rPr>
      <w:drawing>
        <wp:anchor distT="0" distB="0" distL="114300" distR="114300" simplePos="0" relativeHeight="251656704" behindDoc="0" locked="0" layoutInCell="0" allowOverlap="1" wp14:anchorId="0D26C68D" wp14:editId="67E39D71">
          <wp:simplePos x="0" y="0"/>
          <wp:positionH relativeFrom="column">
            <wp:posOffset>-108585</wp:posOffset>
          </wp:positionH>
          <wp:positionV relativeFrom="paragraph">
            <wp:posOffset>144780</wp:posOffset>
          </wp:positionV>
          <wp:extent cx="2343150" cy="409575"/>
          <wp:effectExtent l="0" t="0" r="0" b="0"/>
          <wp:wrapNone/>
          <wp:docPr id="8" name="Grafik 8"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6A4AE" w14:textId="77319002" w:rsidR="0076362E" w:rsidRDefault="0076362E" w:rsidP="0076362E">
    <w:pPr>
      <w:pStyle w:val="Kopfzeile"/>
      <w:pBdr>
        <w:bottom w:val="single" w:sz="4" w:space="1" w:color="auto"/>
      </w:pBdr>
      <w:jc w:val="center"/>
      <w:rPr>
        <w:rFonts w:ascii="Arial" w:hAnsi="Arial"/>
        <w:bCs/>
        <w:noProof/>
        <w:sz w:val="20"/>
      </w:rPr>
    </w:pPr>
  </w:p>
  <w:p w14:paraId="48A38EB7" w14:textId="77777777" w:rsidR="0076362E" w:rsidRDefault="0076362E" w:rsidP="0076362E">
    <w:pPr>
      <w:pStyle w:val="Kopfzeile"/>
      <w:pBdr>
        <w:bottom w:val="single" w:sz="4" w:space="1" w:color="auto"/>
      </w:pBdr>
      <w:jc w:val="center"/>
      <w:rPr>
        <w:rFonts w:ascii="Arial" w:hAnsi="Arial"/>
        <w:bCs/>
        <w:noProof/>
        <w:sz w:val="20"/>
      </w:rPr>
    </w:pPr>
  </w:p>
  <w:p w14:paraId="17E9227D" w14:textId="77777777" w:rsidR="00D00F58" w:rsidRPr="0076362E" w:rsidRDefault="00D00F58" w:rsidP="00114AD8">
    <w:pPr>
      <w:pStyle w:val="Kopfzeile"/>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26C4" w14:textId="77777777" w:rsidR="002433A0" w:rsidRPr="00C22BF5" w:rsidRDefault="002433A0" w:rsidP="002433A0">
    <w:pPr>
      <w:pStyle w:val="Kopfzeile"/>
      <w:pBdr>
        <w:bottom w:val="single" w:sz="4" w:space="1" w:color="auto"/>
      </w:pBdr>
      <w:jc w:val="center"/>
      <w:rPr>
        <w:sz w:val="16"/>
        <w:szCs w:val="16"/>
      </w:rPr>
    </w:pPr>
    <w:r w:rsidRPr="00050823">
      <w:rPr>
        <w:rFonts w:ascii="Arial" w:eastAsia="Arial" w:hAnsi="Arial" w:cs="Arial"/>
        <w:noProof/>
        <w:sz w:val="20"/>
        <w:lang w:bidi="en-US"/>
      </w:rPr>
      <w:t>Non-binding recommendations by the German Insurance Association (GDV) (GDV)</w:t>
    </w:r>
    <w:r w:rsidRPr="00050823">
      <w:rPr>
        <w:rFonts w:ascii="Arial" w:eastAsia="Arial" w:hAnsi="Arial" w:cs="Arial"/>
        <w:noProof/>
        <w:sz w:val="20"/>
        <w:lang w:bidi="en-US"/>
      </w:rPr>
      <w:br/>
      <w:t>for optional use. Other conditions may be agreed.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453"/>
    <w:multiLevelType w:val="hybridMultilevel"/>
    <w:tmpl w:val="BEA0B74A"/>
    <w:lvl w:ilvl="0" w:tplc="08AE41CC">
      <w:start w:val="1"/>
      <w:numFmt w:val="decimal"/>
      <w:lvlText w:val="%1."/>
      <w:lvlJc w:val="left"/>
      <w:pPr>
        <w:tabs>
          <w:tab w:val="num" w:pos="360"/>
        </w:tabs>
        <w:ind w:left="360" w:hanging="360"/>
      </w:pPr>
      <w:rPr>
        <w:b/>
      </w:rPr>
    </w:lvl>
    <w:lvl w:ilvl="1" w:tplc="A816F216">
      <w:numFmt w:val="bullet"/>
      <w:lvlText w:val="-"/>
      <w:lvlJc w:val="left"/>
      <w:pPr>
        <w:tabs>
          <w:tab w:val="num" w:pos="1080"/>
        </w:tabs>
        <w:ind w:left="1080" w:hanging="360"/>
      </w:pPr>
      <w:rPr>
        <w:rFonts w:ascii="Arial" w:eastAsia="Times New Roman" w:hAnsi="Arial" w:cs="Aria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E821F37"/>
    <w:multiLevelType w:val="multilevel"/>
    <w:tmpl w:val="BCA21EB6"/>
    <w:lvl w:ilvl="0">
      <w:start w:val="1"/>
      <w:numFmt w:val="decimal"/>
      <w:pStyle w:val="FormatvorlageUEKls3schlussLinks0cm"/>
      <w:lvlText w:val="%1"/>
      <w:lvlJc w:val="left"/>
      <w:pPr>
        <w:tabs>
          <w:tab w:val="num" w:pos="709"/>
        </w:tabs>
        <w:ind w:left="709" w:hanging="709"/>
      </w:pPr>
      <w:rPr>
        <w:rFonts w:ascii="Arial" w:hAnsi="Arial" w:hint="default"/>
        <w:b/>
        <w:i w:val="0"/>
        <w:sz w:val="18"/>
        <w:szCs w:val="32"/>
      </w:rPr>
    </w:lvl>
    <w:lvl w:ilvl="1">
      <w:start w:val="1"/>
      <w:numFmt w:val="decimal"/>
      <w:lvlText w:val="%1.%2"/>
      <w:lvlJc w:val="left"/>
      <w:pPr>
        <w:tabs>
          <w:tab w:val="num" w:pos="1134"/>
        </w:tabs>
        <w:ind w:left="1134" w:hanging="1134"/>
      </w:pPr>
      <w:rPr>
        <w:rFonts w:ascii="Arial" w:hAnsi="Arial" w:hint="default"/>
        <w:b/>
        <w:i w:val="0"/>
        <w:sz w:val="22"/>
        <w:szCs w:val="28"/>
      </w:rPr>
    </w:lvl>
    <w:lvl w:ilvl="2">
      <w:start w:val="1"/>
      <w:numFmt w:val="decimal"/>
      <w:lvlRestart w:val="0"/>
      <w:pStyle w:val="UEKls3"/>
      <w:lvlText w:val="%3"/>
      <w:lvlJc w:val="left"/>
      <w:pPr>
        <w:tabs>
          <w:tab w:val="num" w:pos="709"/>
        </w:tabs>
        <w:ind w:left="709" w:hanging="709"/>
      </w:pPr>
      <w:rPr>
        <w:rFonts w:ascii="Arial" w:hAnsi="Arial" w:hint="default"/>
        <w:b/>
        <w:i w:val="0"/>
        <w:sz w:val="18"/>
        <w:szCs w:val="24"/>
      </w:rPr>
    </w:lvl>
    <w:lvl w:ilvl="3">
      <w:start w:val="1"/>
      <w:numFmt w:val="decimal"/>
      <w:lvlText w:val="%3.%4"/>
      <w:lvlJc w:val="left"/>
      <w:pPr>
        <w:tabs>
          <w:tab w:val="num" w:pos="709"/>
        </w:tabs>
        <w:ind w:left="709" w:hanging="709"/>
      </w:pPr>
      <w:rPr>
        <w:rFonts w:ascii="Arial" w:hAnsi="Arial" w:hint="default"/>
        <w:b w:val="0"/>
        <w:i w:val="0"/>
        <w:sz w:val="18"/>
        <w:szCs w:val="22"/>
      </w:rPr>
    </w:lvl>
    <w:lvl w:ilvl="4">
      <w:start w:val="1"/>
      <w:numFmt w:val="decimal"/>
      <w:pStyle w:val="UEKls4"/>
      <w:lvlText w:val="%5%3.%4"/>
      <w:lvlJc w:val="left"/>
      <w:pPr>
        <w:tabs>
          <w:tab w:val="num" w:pos="709"/>
        </w:tabs>
        <w:ind w:left="709" w:hanging="709"/>
      </w:pPr>
      <w:rPr>
        <w:rFonts w:ascii="Arial" w:hAnsi="Arial" w:hint="default"/>
        <w:b w:val="0"/>
        <w:i w:val="0"/>
        <w:sz w:val="18"/>
      </w:rPr>
    </w:lvl>
    <w:lvl w:ilvl="5">
      <w:start w:val="1"/>
      <w:numFmt w:val="decimal"/>
      <w:pStyle w:val="UEKls4Zchn"/>
      <w:lvlText w:val="%3.%4.%5.%6"/>
      <w:lvlJc w:val="left"/>
      <w:pPr>
        <w:tabs>
          <w:tab w:val="num" w:pos="851"/>
        </w:tabs>
        <w:ind w:left="851" w:hanging="851"/>
      </w:pPr>
      <w:rPr>
        <w:rFonts w:ascii="Arial" w:hAnsi="Arial" w:hint="default"/>
        <w:b w:val="0"/>
        <w:i w:val="0"/>
        <w:sz w:val="18"/>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39790392"/>
    <w:multiLevelType w:val="hybridMultilevel"/>
    <w:tmpl w:val="7342152A"/>
    <w:lvl w:ilvl="0" w:tplc="8FB45D6A">
      <w:start w:val="1"/>
      <w:numFmt w:val="decimal"/>
      <w:lvlText w:val="%1"/>
      <w:lvlJc w:val="righ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8A25A9"/>
    <w:multiLevelType w:val="hybridMultilevel"/>
    <w:tmpl w:val="0FD49774"/>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num w:numId="1" w16cid:durableId="701395972">
    <w:abstractNumId w:val="0"/>
  </w:num>
  <w:num w:numId="2" w16cid:durableId="533807051">
    <w:abstractNumId w:val="1"/>
  </w:num>
  <w:num w:numId="3" w16cid:durableId="1391615877">
    <w:abstractNumId w:val="2"/>
  </w:num>
  <w:num w:numId="4" w16cid:durableId="1637876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32"/>
    <w:rsid w:val="00010506"/>
    <w:rsid w:val="000124A4"/>
    <w:rsid w:val="00022FD6"/>
    <w:rsid w:val="000235DA"/>
    <w:rsid w:val="000336B4"/>
    <w:rsid w:val="00040AE8"/>
    <w:rsid w:val="00047557"/>
    <w:rsid w:val="00047A50"/>
    <w:rsid w:val="0005171A"/>
    <w:rsid w:val="00053083"/>
    <w:rsid w:val="00061486"/>
    <w:rsid w:val="000663ED"/>
    <w:rsid w:val="00067F89"/>
    <w:rsid w:val="000767CD"/>
    <w:rsid w:val="00086E44"/>
    <w:rsid w:val="00095348"/>
    <w:rsid w:val="0009538A"/>
    <w:rsid w:val="000A135B"/>
    <w:rsid w:val="000A5C56"/>
    <w:rsid w:val="000D2903"/>
    <w:rsid w:val="000E79B7"/>
    <w:rsid w:val="000F3D83"/>
    <w:rsid w:val="00103B0B"/>
    <w:rsid w:val="00114AD8"/>
    <w:rsid w:val="00115B10"/>
    <w:rsid w:val="001211D1"/>
    <w:rsid w:val="00127495"/>
    <w:rsid w:val="00154DFC"/>
    <w:rsid w:val="00173507"/>
    <w:rsid w:val="00176232"/>
    <w:rsid w:val="00176519"/>
    <w:rsid w:val="001837FF"/>
    <w:rsid w:val="0018496E"/>
    <w:rsid w:val="001A3C81"/>
    <w:rsid w:val="001A424C"/>
    <w:rsid w:val="001A6A2B"/>
    <w:rsid w:val="001E221C"/>
    <w:rsid w:val="001E6C13"/>
    <w:rsid w:val="001F34F1"/>
    <w:rsid w:val="00201B31"/>
    <w:rsid w:val="0021023C"/>
    <w:rsid w:val="00216B32"/>
    <w:rsid w:val="0022011B"/>
    <w:rsid w:val="00223950"/>
    <w:rsid w:val="002433A0"/>
    <w:rsid w:val="00254455"/>
    <w:rsid w:val="00262F52"/>
    <w:rsid w:val="002652FF"/>
    <w:rsid w:val="0027062C"/>
    <w:rsid w:val="00273A64"/>
    <w:rsid w:val="00274893"/>
    <w:rsid w:val="00280987"/>
    <w:rsid w:val="0029131F"/>
    <w:rsid w:val="002A560B"/>
    <w:rsid w:val="002B72EF"/>
    <w:rsid w:val="002C1A82"/>
    <w:rsid w:val="002D007E"/>
    <w:rsid w:val="002E6931"/>
    <w:rsid w:val="002F3EE7"/>
    <w:rsid w:val="002F481A"/>
    <w:rsid w:val="002F4FE9"/>
    <w:rsid w:val="00311182"/>
    <w:rsid w:val="0032116B"/>
    <w:rsid w:val="00335562"/>
    <w:rsid w:val="003371D6"/>
    <w:rsid w:val="0035189A"/>
    <w:rsid w:val="003638BA"/>
    <w:rsid w:val="00393FD1"/>
    <w:rsid w:val="00395690"/>
    <w:rsid w:val="003A0C93"/>
    <w:rsid w:val="003A4AAC"/>
    <w:rsid w:val="003A7DE1"/>
    <w:rsid w:val="003B1409"/>
    <w:rsid w:val="003B4D66"/>
    <w:rsid w:val="003C36C4"/>
    <w:rsid w:val="003C4BED"/>
    <w:rsid w:val="003C6B24"/>
    <w:rsid w:val="003F6B5F"/>
    <w:rsid w:val="003F757C"/>
    <w:rsid w:val="00410EF2"/>
    <w:rsid w:val="00416B73"/>
    <w:rsid w:val="00420A51"/>
    <w:rsid w:val="00432E77"/>
    <w:rsid w:val="00433E7D"/>
    <w:rsid w:val="004415FA"/>
    <w:rsid w:val="00443BC0"/>
    <w:rsid w:val="00464EF5"/>
    <w:rsid w:val="0047397B"/>
    <w:rsid w:val="00480E9F"/>
    <w:rsid w:val="00487500"/>
    <w:rsid w:val="004A006D"/>
    <w:rsid w:val="004A016C"/>
    <w:rsid w:val="004C5300"/>
    <w:rsid w:val="004C7D60"/>
    <w:rsid w:val="004D2274"/>
    <w:rsid w:val="004D386E"/>
    <w:rsid w:val="004D7565"/>
    <w:rsid w:val="004F2C7A"/>
    <w:rsid w:val="0050736B"/>
    <w:rsid w:val="0051364F"/>
    <w:rsid w:val="0053594D"/>
    <w:rsid w:val="00545169"/>
    <w:rsid w:val="00567A57"/>
    <w:rsid w:val="005738B1"/>
    <w:rsid w:val="005808DB"/>
    <w:rsid w:val="00590781"/>
    <w:rsid w:val="005957CF"/>
    <w:rsid w:val="005A0760"/>
    <w:rsid w:val="005A5198"/>
    <w:rsid w:val="005B0F9E"/>
    <w:rsid w:val="005C7993"/>
    <w:rsid w:val="005E65C3"/>
    <w:rsid w:val="005F0F76"/>
    <w:rsid w:val="005F272F"/>
    <w:rsid w:val="006033AB"/>
    <w:rsid w:val="00605F23"/>
    <w:rsid w:val="006063A6"/>
    <w:rsid w:val="0062378E"/>
    <w:rsid w:val="00630C12"/>
    <w:rsid w:val="006331DA"/>
    <w:rsid w:val="0063614A"/>
    <w:rsid w:val="006557A8"/>
    <w:rsid w:val="00661DF3"/>
    <w:rsid w:val="00667A02"/>
    <w:rsid w:val="00673B5F"/>
    <w:rsid w:val="006811DF"/>
    <w:rsid w:val="006823E6"/>
    <w:rsid w:val="00687783"/>
    <w:rsid w:val="0069256C"/>
    <w:rsid w:val="006B35FD"/>
    <w:rsid w:val="006C5379"/>
    <w:rsid w:val="006E3210"/>
    <w:rsid w:val="006E3B9A"/>
    <w:rsid w:val="006E6268"/>
    <w:rsid w:val="00712B85"/>
    <w:rsid w:val="00715991"/>
    <w:rsid w:val="00717798"/>
    <w:rsid w:val="0072299E"/>
    <w:rsid w:val="00727D93"/>
    <w:rsid w:val="007400F3"/>
    <w:rsid w:val="00743614"/>
    <w:rsid w:val="00747132"/>
    <w:rsid w:val="007561E8"/>
    <w:rsid w:val="00762DB3"/>
    <w:rsid w:val="00763145"/>
    <w:rsid w:val="0076362E"/>
    <w:rsid w:val="00764A88"/>
    <w:rsid w:val="00774F2C"/>
    <w:rsid w:val="007806DD"/>
    <w:rsid w:val="007819E5"/>
    <w:rsid w:val="007861CD"/>
    <w:rsid w:val="00790674"/>
    <w:rsid w:val="007B253A"/>
    <w:rsid w:val="007C42F6"/>
    <w:rsid w:val="007C50D1"/>
    <w:rsid w:val="007D07E1"/>
    <w:rsid w:val="007D3028"/>
    <w:rsid w:val="007E2882"/>
    <w:rsid w:val="007F2A59"/>
    <w:rsid w:val="00837B5E"/>
    <w:rsid w:val="00840D17"/>
    <w:rsid w:val="00857BBA"/>
    <w:rsid w:val="00863FEF"/>
    <w:rsid w:val="0088044B"/>
    <w:rsid w:val="0088118E"/>
    <w:rsid w:val="008920A6"/>
    <w:rsid w:val="008E144E"/>
    <w:rsid w:val="008E2CFF"/>
    <w:rsid w:val="008E7E05"/>
    <w:rsid w:val="008F211F"/>
    <w:rsid w:val="008F369E"/>
    <w:rsid w:val="008F4AE9"/>
    <w:rsid w:val="00904037"/>
    <w:rsid w:val="009132D5"/>
    <w:rsid w:val="00930A7F"/>
    <w:rsid w:val="00932AFC"/>
    <w:rsid w:val="00950DFF"/>
    <w:rsid w:val="009607C5"/>
    <w:rsid w:val="00976142"/>
    <w:rsid w:val="009860E1"/>
    <w:rsid w:val="009A3E1D"/>
    <w:rsid w:val="009A645F"/>
    <w:rsid w:val="009C4DAF"/>
    <w:rsid w:val="009C4FEC"/>
    <w:rsid w:val="00A052C2"/>
    <w:rsid w:val="00A06894"/>
    <w:rsid w:val="00A0741E"/>
    <w:rsid w:val="00A175FE"/>
    <w:rsid w:val="00A4007E"/>
    <w:rsid w:val="00A43DDD"/>
    <w:rsid w:val="00A47F08"/>
    <w:rsid w:val="00A54BB5"/>
    <w:rsid w:val="00A54FED"/>
    <w:rsid w:val="00A661CA"/>
    <w:rsid w:val="00A707EF"/>
    <w:rsid w:val="00A81A8A"/>
    <w:rsid w:val="00A8720D"/>
    <w:rsid w:val="00A951D6"/>
    <w:rsid w:val="00AA40E3"/>
    <w:rsid w:val="00AB7287"/>
    <w:rsid w:val="00AC1D28"/>
    <w:rsid w:val="00AD1D36"/>
    <w:rsid w:val="00AE06A8"/>
    <w:rsid w:val="00AE3D01"/>
    <w:rsid w:val="00AE3DB5"/>
    <w:rsid w:val="00AE476E"/>
    <w:rsid w:val="00AF46BD"/>
    <w:rsid w:val="00AF76F3"/>
    <w:rsid w:val="00B24ACF"/>
    <w:rsid w:val="00B258B4"/>
    <w:rsid w:val="00B26654"/>
    <w:rsid w:val="00B30632"/>
    <w:rsid w:val="00B662BF"/>
    <w:rsid w:val="00B67A1B"/>
    <w:rsid w:val="00B72C0B"/>
    <w:rsid w:val="00B867C4"/>
    <w:rsid w:val="00B87E95"/>
    <w:rsid w:val="00BB1B68"/>
    <w:rsid w:val="00BB5180"/>
    <w:rsid w:val="00BB7E82"/>
    <w:rsid w:val="00BE1C7B"/>
    <w:rsid w:val="00BE6FD7"/>
    <w:rsid w:val="00C02BC1"/>
    <w:rsid w:val="00C048AB"/>
    <w:rsid w:val="00C25380"/>
    <w:rsid w:val="00C26085"/>
    <w:rsid w:val="00C370CC"/>
    <w:rsid w:val="00C414F0"/>
    <w:rsid w:val="00C45BD4"/>
    <w:rsid w:val="00C5163A"/>
    <w:rsid w:val="00C60F8D"/>
    <w:rsid w:val="00C639D9"/>
    <w:rsid w:val="00C76571"/>
    <w:rsid w:val="00C80654"/>
    <w:rsid w:val="00C87EA9"/>
    <w:rsid w:val="00C915FB"/>
    <w:rsid w:val="00C95A0C"/>
    <w:rsid w:val="00CA4603"/>
    <w:rsid w:val="00CA72CF"/>
    <w:rsid w:val="00CB0F69"/>
    <w:rsid w:val="00CB12ED"/>
    <w:rsid w:val="00CB5758"/>
    <w:rsid w:val="00CC05BE"/>
    <w:rsid w:val="00CC16C9"/>
    <w:rsid w:val="00CD200A"/>
    <w:rsid w:val="00CD3717"/>
    <w:rsid w:val="00CD4C72"/>
    <w:rsid w:val="00CD73EC"/>
    <w:rsid w:val="00CE1A79"/>
    <w:rsid w:val="00CE5A77"/>
    <w:rsid w:val="00CE63E4"/>
    <w:rsid w:val="00CE6DE1"/>
    <w:rsid w:val="00CF4835"/>
    <w:rsid w:val="00D00F58"/>
    <w:rsid w:val="00D114B8"/>
    <w:rsid w:val="00D1471B"/>
    <w:rsid w:val="00D20C43"/>
    <w:rsid w:val="00D23529"/>
    <w:rsid w:val="00D25ED3"/>
    <w:rsid w:val="00D318A9"/>
    <w:rsid w:val="00D402B5"/>
    <w:rsid w:val="00D45821"/>
    <w:rsid w:val="00D60A91"/>
    <w:rsid w:val="00D611C6"/>
    <w:rsid w:val="00D85258"/>
    <w:rsid w:val="00D90A90"/>
    <w:rsid w:val="00DA04FA"/>
    <w:rsid w:val="00DA1E4B"/>
    <w:rsid w:val="00DA2AE0"/>
    <w:rsid w:val="00DC033D"/>
    <w:rsid w:val="00DC079F"/>
    <w:rsid w:val="00DD2351"/>
    <w:rsid w:val="00DD6788"/>
    <w:rsid w:val="00DD79B0"/>
    <w:rsid w:val="00DF105A"/>
    <w:rsid w:val="00E001C9"/>
    <w:rsid w:val="00E035D8"/>
    <w:rsid w:val="00E063AD"/>
    <w:rsid w:val="00E30AFA"/>
    <w:rsid w:val="00E337F2"/>
    <w:rsid w:val="00E418CB"/>
    <w:rsid w:val="00E4225C"/>
    <w:rsid w:val="00E43EED"/>
    <w:rsid w:val="00E555BA"/>
    <w:rsid w:val="00E56166"/>
    <w:rsid w:val="00E57A65"/>
    <w:rsid w:val="00E84432"/>
    <w:rsid w:val="00E91EF7"/>
    <w:rsid w:val="00E94327"/>
    <w:rsid w:val="00E97F60"/>
    <w:rsid w:val="00EA3253"/>
    <w:rsid w:val="00EA6C61"/>
    <w:rsid w:val="00EB17D3"/>
    <w:rsid w:val="00EC1071"/>
    <w:rsid w:val="00EC3DE6"/>
    <w:rsid w:val="00EC6AEE"/>
    <w:rsid w:val="00EC6F9B"/>
    <w:rsid w:val="00EE6365"/>
    <w:rsid w:val="00EF32B1"/>
    <w:rsid w:val="00F06AA8"/>
    <w:rsid w:val="00F156DC"/>
    <w:rsid w:val="00F2669E"/>
    <w:rsid w:val="00F269EF"/>
    <w:rsid w:val="00F41183"/>
    <w:rsid w:val="00F472BF"/>
    <w:rsid w:val="00F921E5"/>
    <w:rsid w:val="00F947C8"/>
    <w:rsid w:val="00FA056D"/>
    <w:rsid w:val="00FC3539"/>
    <w:rsid w:val="00FE3363"/>
    <w:rsid w:val="00FE4591"/>
    <w:rsid w:val="00FF29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52665"/>
  <w15:docId w15:val="{2D12FBA3-B6B2-4C2A-81A2-97D5ED31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063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30632"/>
    <w:pPr>
      <w:tabs>
        <w:tab w:val="center" w:pos="4536"/>
        <w:tab w:val="right" w:pos="9072"/>
      </w:tabs>
    </w:pPr>
  </w:style>
  <w:style w:type="paragraph" w:styleId="Kopfzeile">
    <w:name w:val="header"/>
    <w:basedOn w:val="Standard"/>
    <w:rsid w:val="00B30632"/>
    <w:pPr>
      <w:tabs>
        <w:tab w:val="center" w:pos="4536"/>
        <w:tab w:val="right" w:pos="9072"/>
      </w:tabs>
    </w:pPr>
    <w:rPr>
      <w:rFonts w:ascii="Times" w:hAnsi="Times"/>
      <w:szCs w:val="20"/>
    </w:rPr>
  </w:style>
  <w:style w:type="paragraph" w:customStyle="1" w:styleId="UEKLS1Inh">
    <w:name w:val="UE_KLS1_Inh"/>
    <w:basedOn w:val="Standard"/>
    <w:rsid w:val="00B30632"/>
    <w:pPr>
      <w:keepNext/>
      <w:tabs>
        <w:tab w:val="left" w:pos="1559"/>
      </w:tabs>
      <w:spacing w:after="60"/>
      <w:ind w:left="1559" w:hanging="1559"/>
    </w:pPr>
    <w:rPr>
      <w:rFonts w:ascii="Arial" w:hAnsi="Arial"/>
      <w:b/>
      <w:sz w:val="16"/>
    </w:rPr>
  </w:style>
  <w:style w:type="paragraph" w:customStyle="1" w:styleId="UEkls2inh">
    <w:name w:val="UE_kls2_inh"/>
    <w:basedOn w:val="Standard"/>
    <w:rsid w:val="00B30632"/>
    <w:pPr>
      <w:keepNext/>
      <w:tabs>
        <w:tab w:val="left" w:pos="284"/>
      </w:tabs>
      <w:suppressAutoHyphens/>
      <w:spacing w:after="20"/>
      <w:ind w:left="284" w:hanging="284"/>
    </w:pPr>
    <w:rPr>
      <w:rFonts w:ascii="Arial" w:hAnsi="Arial"/>
      <w:b/>
      <w:sz w:val="14"/>
    </w:rPr>
  </w:style>
  <w:style w:type="paragraph" w:customStyle="1" w:styleId="UEKLS3inh">
    <w:name w:val="UE_KLS3_inh"/>
    <w:basedOn w:val="Standard"/>
    <w:rsid w:val="00B30632"/>
    <w:pPr>
      <w:tabs>
        <w:tab w:val="left" w:pos="284"/>
      </w:tabs>
      <w:spacing w:after="100" w:line="160" w:lineRule="exact"/>
      <w:ind w:left="284" w:hanging="284"/>
      <w:contextualSpacing/>
    </w:pPr>
    <w:rPr>
      <w:rFonts w:ascii="Arial" w:hAnsi="Arial"/>
      <w:sz w:val="14"/>
    </w:rPr>
  </w:style>
  <w:style w:type="paragraph" w:customStyle="1" w:styleId="UE">
    <w:name w:val="UE"/>
    <w:basedOn w:val="Standard"/>
    <w:rsid w:val="00B30632"/>
    <w:pPr>
      <w:keepNext/>
      <w:keepLines/>
      <w:suppressAutoHyphens/>
      <w:spacing w:before="260" w:after="260"/>
      <w:jc w:val="center"/>
    </w:pPr>
    <w:rPr>
      <w:rFonts w:ascii="Arial" w:hAnsi="Arial"/>
      <w:b/>
    </w:rPr>
  </w:style>
  <w:style w:type="paragraph" w:customStyle="1" w:styleId="UEAkronym">
    <w:name w:val="UE_Akronym"/>
    <w:basedOn w:val="UE"/>
    <w:rsid w:val="00B30632"/>
    <w:pPr>
      <w:spacing w:before="0" w:after="140"/>
    </w:pPr>
  </w:style>
  <w:style w:type="paragraph" w:customStyle="1" w:styleId="UEstandard">
    <w:name w:val="UE_standard"/>
    <w:basedOn w:val="UEAkronym"/>
    <w:rsid w:val="00B30632"/>
    <w:rPr>
      <w:sz w:val="18"/>
    </w:rPr>
  </w:style>
  <w:style w:type="paragraph" w:customStyle="1" w:styleId="UEKls3schluss">
    <w:name w:val="UE_Kls3_schluss"/>
    <w:basedOn w:val="Standard"/>
    <w:rsid w:val="0018496E"/>
    <w:pPr>
      <w:spacing w:after="260"/>
      <w:ind w:left="709"/>
      <w:jc w:val="both"/>
    </w:pPr>
    <w:rPr>
      <w:rFonts w:ascii="Arial" w:hAnsi="Arial"/>
      <w:sz w:val="18"/>
    </w:rPr>
  </w:style>
  <w:style w:type="character" w:styleId="Seitenzahl">
    <w:name w:val="page number"/>
    <w:basedOn w:val="Absatz-Standardschriftart"/>
    <w:rsid w:val="00976142"/>
  </w:style>
  <w:style w:type="paragraph" w:styleId="Sprechblasentext">
    <w:name w:val="Balloon Text"/>
    <w:basedOn w:val="Standard"/>
    <w:semiHidden/>
    <w:rsid w:val="000336B4"/>
    <w:rPr>
      <w:rFonts w:ascii="Tahoma" w:hAnsi="Tahoma" w:cs="Tahoma"/>
      <w:sz w:val="16"/>
      <w:szCs w:val="16"/>
    </w:rPr>
  </w:style>
  <w:style w:type="paragraph" w:customStyle="1" w:styleId="FormatvorlageUEKls3schlussLinks0cm">
    <w:name w:val="Formatvorlage UE_Kls3_schluss + Links:  0 cm"/>
    <w:basedOn w:val="UEKls3schluss"/>
    <w:rsid w:val="00BB7E82"/>
    <w:pPr>
      <w:numPr>
        <w:numId w:val="2"/>
      </w:numPr>
      <w:spacing w:after="240"/>
    </w:pPr>
    <w:rPr>
      <w:szCs w:val="20"/>
    </w:rPr>
  </w:style>
  <w:style w:type="character" w:styleId="Kommentarzeichen">
    <w:name w:val="annotation reference"/>
    <w:rsid w:val="00D402B5"/>
    <w:rPr>
      <w:sz w:val="16"/>
      <w:szCs w:val="16"/>
    </w:rPr>
  </w:style>
  <w:style w:type="paragraph" w:customStyle="1" w:styleId="UEKls3">
    <w:name w:val="UE_Kls3"/>
    <w:basedOn w:val="Standard"/>
    <w:rsid w:val="00BB7E82"/>
    <w:pPr>
      <w:numPr>
        <w:ilvl w:val="2"/>
        <w:numId w:val="2"/>
      </w:numPr>
    </w:pPr>
  </w:style>
  <w:style w:type="paragraph" w:customStyle="1" w:styleId="UEKls4">
    <w:name w:val="UE_Kls4"/>
    <w:basedOn w:val="Standard"/>
    <w:rsid w:val="00BB7E82"/>
    <w:pPr>
      <w:numPr>
        <w:ilvl w:val="4"/>
        <w:numId w:val="2"/>
      </w:numPr>
    </w:pPr>
  </w:style>
  <w:style w:type="paragraph" w:customStyle="1" w:styleId="UEKls4Zchn">
    <w:name w:val="UE_Kls4 Zchn"/>
    <w:basedOn w:val="Standard"/>
    <w:rsid w:val="00BB7E82"/>
    <w:pPr>
      <w:numPr>
        <w:ilvl w:val="5"/>
        <w:numId w:val="2"/>
      </w:numPr>
    </w:pPr>
  </w:style>
  <w:style w:type="paragraph" w:styleId="Kommentartext">
    <w:name w:val="annotation text"/>
    <w:basedOn w:val="Standard"/>
    <w:link w:val="KommentartextZchn"/>
    <w:rsid w:val="00D402B5"/>
    <w:rPr>
      <w:sz w:val="20"/>
      <w:szCs w:val="20"/>
    </w:rPr>
  </w:style>
  <w:style w:type="character" w:customStyle="1" w:styleId="KommentartextZchn">
    <w:name w:val="Kommentartext Zchn"/>
    <w:basedOn w:val="Absatz-Standardschriftart"/>
    <w:link w:val="Kommentartext"/>
    <w:rsid w:val="00D402B5"/>
  </w:style>
  <w:style w:type="paragraph" w:styleId="Kommentarthema">
    <w:name w:val="annotation subject"/>
    <w:basedOn w:val="Kommentartext"/>
    <w:next w:val="Kommentartext"/>
    <w:link w:val="KommentarthemaZchn"/>
    <w:rsid w:val="00D402B5"/>
    <w:rPr>
      <w:b/>
      <w:bCs/>
    </w:rPr>
  </w:style>
  <w:style w:type="character" w:customStyle="1" w:styleId="KommentarthemaZchn">
    <w:name w:val="Kommentarthema Zchn"/>
    <w:link w:val="Kommentarthema"/>
    <w:rsid w:val="00D402B5"/>
    <w:rPr>
      <w:b/>
      <w:bCs/>
    </w:rPr>
  </w:style>
  <w:style w:type="paragraph" w:styleId="Listenabsatz">
    <w:name w:val="List Paragraph"/>
    <w:basedOn w:val="Standard"/>
    <w:uiPriority w:val="34"/>
    <w:qFormat/>
    <w:rsid w:val="00127495"/>
    <w:pPr>
      <w:ind w:left="720"/>
      <w:contextualSpacing/>
    </w:pPr>
  </w:style>
  <w:style w:type="paragraph" w:styleId="berarbeitung">
    <w:name w:val="Revision"/>
    <w:hidden/>
    <w:uiPriority w:val="99"/>
    <w:semiHidden/>
    <w:rsid w:val="00CC16C9"/>
    <w:rPr>
      <w:sz w:val="24"/>
      <w:szCs w:val="24"/>
    </w:rPr>
  </w:style>
  <w:style w:type="character" w:customStyle="1" w:styleId="FuzeileZchn">
    <w:name w:val="Fußzeile Zchn"/>
    <w:basedOn w:val="Absatz-Standardschriftart"/>
    <w:link w:val="Fuzeile"/>
    <w:uiPriority w:val="99"/>
    <w:rsid w:val="00C02B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EF5A9945-17D7-4C15-9173-3C3E7AE05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7183A-8BAE-4566-8607-0C71B24F39FC}">
  <ds:schemaRefs>
    <ds:schemaRef ds:uri="http://schemas.microsoft.com/sharepoint/v3/contenttype/forms"/>
  </ds:schemaRefs>
</ds:datastoreItem>
</file>

<file path=customXml/itemProps3.xml><?xml version="1.0" encoding="utf-8"?>
<ds:datastoreItem xmlns:ds="http://schemas.openxmlformats.org/officeDocument/2006/customXml" ds:itemID="{A700854D-C304-4987-ADD3-F233A87CC127}">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6050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Anlage zu den</vt:lpstr>
    </vt:vector>
  </TitlesOfParts>
  <Company>GDV</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zu den</dc:title>
  <dc:creator>ehling</dc:creator>
  <cp:lastModifiedBy>Daniel Fritz</cp:lastModifiedBy>
  <cp:revision>5</cp:revision>
  <cp:lastPrinted>2024-11-29T09:14:00Z</cp:lastPrinted>
  <dcterms:created xsi:type="dcterms:W3CDTF">2024-11-29T09:11:00Z</dcterms:created>
  <dcterms:modified xsi:type="dcterms:W3CDTF">2024-11-29T09:14:00Z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0x01010001C223BB96C84F4E947FDAD2FC42D1FC</vt:lpwstr>
  </property>
  <property fmtid="{D5CDD505-2E9C-101B-9397-08002B2CF9AE}" pid="4" name="MediaServiceImageTags">
    <vt:lpwstr/>
  </property>
</Properties>
</file>